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73881" w:rsidRDefault="003223AC" w:rsidP="001C5547">
      <w:pPr>
        <w:jc w:val="center"/>
      </w:pPr>
      <w:bookmarkStart w:id="0" w:name="_GoBack"/>
      <w:bookmarkEnd w:id="0"/>
      <w:r>
        <w:rPr>
          <w:noProof/>
        </w:rPr>
        <w:drawing>
          <wp:anchor distT="0" distB="0" distL="114300" distR="114300" simplePos="0" relativeHeight="251658240" behindDoc="0" locked="0" layoutInCell="0" hidden="0" allowOverlap="0">
            <wp:simplePos x="0" y="0"/>
            <wp:positionH relativeFrom="margin">
              <wp:posOffset>1524000</wp:posOffset>
            </wp:positionH>
            <wp:positionV relativeFrom="paragraph">
              <wp:posOffset>-590550</wp:posOffset>
            </wp:positionV>
            <wp:extent cx="2857500" cy="581025"/>
            <wp:effectExtent l="0" t="0" r="0" b="9525"/>
            <wp:wrapNone/>
            <wp:docPr id="2" name="image05.jpg" descr="Trinity_Logo_2009-345x98"/>
            <wp:cNvGraphicFramePr/>
            <a:graphic xmlns:a="http://schemas.openxmlformats.org/drawingml/2006/main">
              <a:graphicData uri="http://schemas.openxmlformats.org/drawingml/2006/picture">
                <pic:pic xmlns:pic="http://schemas.openxmlformats.org/drawingml/2006/picture">
                  <pic:nvPicPr>
                    <pic:cNvPr id="0" name="image05.jpg" descr="Trinity_Logo_2009-345x98"/>
                    <pic:cNvPicPr preferRelativeResize="0"/>
                  </pic:nvPicPr>
                  <pic:blipFill>
                    <a:blip r:embed="rId7"/>
                    <a:srcRect/>
                    <a:stretch>
                      <a:fillRect/>
                    </a:stretch>
                  </pic:blipFill>
                  <pic:spPr>
                    <a:xfrm>
                      <a:off x="0" y="0"/>
                      <a:ext cx="2857500" cy="581025"/>
                    </a:xfrm>
                    <a:prstGeom prst="rect">
                      <a:avLst/>
                    </a:prstGeom>
                    <a:ln/>
                  </pic:spPr>
                </pic:pic>
              </a:graphicData>
            </a:graphic>
            <wp14:sizeRelH relativeFrom="margin">
              <wp14:pctWidth>0</wp14:pctWidth>
            </wp14:sizeRelH>
            <wp14:sizeRelV relativeFrom="margin">
              <wp14:pctHeight>0</wp14:pctHeight>
            </wp14:sizeRelV>
          </wp:anchor>
        </w:drawing>
      </w:r>
      <w:r w:rsidRPr="001C5547">
        <w:rPr>
          <w:rFonts w:ascii="Arial" w:eastAsia="Arial" w:hAnsi="Arial" w:cs="Arial"/>
          <w:b/>
          <w:color w:val="4B306A"/>
          <w:sz w:val="36"/>
          <w:szCs w:val="36"/>
        </w:rPr>
        <w:t>College of Arts and Sciences</w:t>
      </w:r>
      <w:r w:rsidRPr="001C5547">
        <w:rPr>
          <w:noProof/>
          <w:sz w:val="36"/>
          <w:szCs w:val="36"/>
        </w:rPr>
        <w:drawing>
          <wp:anchor distT="36576" distB="36576" distL="36576" distR="36576" simplePos="0" relativeHeight="251659264" behindDoc="0" locked="0" layoutInCell="0" hidden="0" allowOverlap="0">
            <wp:simplePos x="0" y="0"/>
            <wp:positionH relativeFrom="margin">
              <wp:posOffset>-482599</wp:posOffset>
            </wp:positionH>
            <wp:positionV relativeFrom="paragraph">
              <wp:posOffset>419100</wp:posOffset>
            </wp:positionV>
            <wp:extent cx="6858000" cy="1270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6858000" cy="12700"/>
                    </a:xfrm>
                    <a:prstGeom prst="rect">
                      <a:avLst/>
                    </a:prstGeom>
                    <a:ln/>
                  </pic:spPr>
                </pic:pic>
              </a:graphicData>
            </a:graphic>
          </wp:anchor>
        </w:drawing>
      </w:r>
    </w:p>
    <w:p w:rsidR="00973881" w:rsidRPr="001C5547" w:rsidRDefault="00BF44EB" w:rsidP="00BF44EB">
      <w:pPr>
        <w:spacing w:after="0" w:line="240" w:lineRule="auto"/>
        <w:ind w:left="-634"/>
        <w:jc w:val="center"/>
        <w:rPr>
          <w:b/>
          <w:sz w:val="36"/>
          <w:szCs w:val="36"/>
        </w:rPr>
      </w:pPr>
      <w:r w:rsidRPr="001C5547">
        <w:rPr>
          <w:rFonts w:ascii="Arial" w:eastAsia="Arial" w:hAnsi="Arial" w:cs="Arial"/>
          <w:b/>
          <w:color w:val="4B306A"/>
          <w:sz w:val="36"/>
          <w:szCs w:val="36"/>
        </w:rPr>
        <w:t>Trinity’s Meta-</w:t>
      </w:r>
      <w:r w:rsidR="003223AC" w:rsidRPr="001C5547">
        <w:rPr>
          <w:rFonts w:ascii="Arial" w:eastAsia="Arial" w:hAnsi="Arial" w:cs="Arial"/>
          <w:b/>
          <w:color w:val="4B306A"/>
          <w:sz w:val="36"/>
          <w:szCs w:val="36"/>
        </w:rPr>
        <w:t>Majors</w:t>
      </w:r>
    </w:p>
    <w:p w:rsidR="00973881" w:rsidRDefault="00973881">
      <w:pPr>
        <w:spacing w:after="0" w:line="240" w:lineRule="auto"/>
        <w:ind w:left="-634"/>
      </w:pPr>
    </w:p>
    <w:tbl>
      <w:tblPr>
        <w:tblStyle w:val="a"/>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64"/>
        <w:gridCol w:w="4686"/>
      </w:tblGrid>
      <w:tr w:rsidR="00973881">
        <w:tc>
          <w:tcPr>
            <w:tcW w:w="4664" w:type="dxa"/>
          </w:tcPr>
          <w:p w:rsidR="00973881" w:rsidRDefault="00BF44EB">
            <w:r>
              <w:rPr>
                <w:rFonts w:ascii="Arial" w:eastAsia="Arial" w:hAnsi="Arial" w:cs="Arial"/>
                <w:b/>
                <w:sz w:val="24"/>
                <w:szCs w:val="24"/>
              </w:rPr>
              <w:t>Meta-</w:t>
            </w:r>
            <w:r w:rsidR="003223AC">
              <w:rPr>
                <w:rFonts w:ascii="Arial" w:eastAsia="Arial" w:hAnsi="Arial" w:cs="Arial"/>
                <w:b/>
                <w:sz w:val="24"/>
                <w:szCs w:val="24"/>
              </w:rPr>
              <w:t>Major</w:t>
            </w:r>
          </w:p>
        </w:tc>
        <w:tc>
          <w:tcPr>
            <w:tcW w:w="4686" w:type="dxa"/>
          </w:tcPr>
          <w:p w:rsidR="00973881" w:rsidRDefault="003223AC">
            <w:r>
              <w:rPr>
                <w:rFonts w:ascii="Arial" w:eastAsia="Arial" w:hAnsi="Arial" w:cs="Arial"/>
                <w:b/>
                <w:sz w:val="24"/>
                <w:szCs w:val="24"/>
              </w:rPr>
              <w:t>Majors/Minors</w:t>
            </w:r>
          </w:p>
        </w:tc>
      </w:tr>
      <w:tr w:rsidR="00973881" w:rsidTr="00694B11">
        <w:trPr>
          <w:trHeight w:val="323"/>
        </w:trPr>
        <w:tc>
          <w:tcPr>
            <w:tcW w:w="4664" w:type="dxa"/>
          </w:tcPr>
          <w:p w:rsidR="00973881" w:rsidRDefault="003223AC" w:rsidP="00694B11">
            <w:r>
              <w:rPr>
                <w:rFonts w:ascii="Arial" w:eastAsia="Arial" w:hAnsi="Arial" w:cs="Arial"/>
                <w:sz w:val="24"/>
                <w:szCs w:val="24"/>
              </w:rPr>
              <w:t>Business</w:t>
            </w:r>
          </w:p>
        </w:tc>
        <w:tc>
          <w:tcPr>
            <w:tcW w:w="4686" w:type="dxa"/>
          </w:tcPr>
          <w:p w:rsidR="00973881" w:rsidRDefault="003223AC">
            <w:r>
              <w:rPr>
                <w:rFonts w:ascii="Arial" w:eastAsia="Arial" w:hAnsi="Arial" w:cs="Arial"/>
                <w:sz w:val="24"/>
                <w:szCs w:val="24"/>
              </w:rPr>
              <w:t>Business Administration (Major, Minor)</w:t>
            </w:r>
          </w:p>
        </w:tc>
      </w:tr>
      <w:tr w:rsidR="00973881" w:rsidTr="00694B11">
        <w:trPr>
          <w:trHeight w:val="845"/>
        </w:trPr>
        <w:tc>
          <w:tcPr>
            <w:tcW w:w="4664" w:type="dxa"/>
          </w:tcPr>
          <w:p w:rsidR="00973881" w:rsidRDefault="003223AC">
            <w:r>
              <w:rPr>
                <w:rFonts w:ascii="Arial" w:eastAsia="Arial" w:hAnsi="Arial" w:cs="Arial"/>
                <w:sz w:val="24"/>
                <w:szCs w:val="24"/>
              </w:rPr>
              <w:t>Education</w:t>
            </w:r>
          </w:p>
        </w:tc>
        <w:tc>
          <w:tcPr>
            <w:tcW w:w="4686" w:type="dxa"/>
          </w:tcPr>
          <w:p w:rsidR="00973881" w:rsidRDefault="003223AC">
            <w:r>
              <w:rPr>
                <w:rFonts w:ascii="Arial" w:eastAsia="Arial" w:hAnsi="Arial" w:cs="Arial"/>
                <w:sz w:val="24"/>
                <w:szCs w:val="24"/>
              </w:rPr>
              <w:t>Early Childhood Education (Major)</w:t>
            </w:r>
          </w:p>
          <w:p w:rsidR="00973881" w:rsidRDefault="003223AC">
            <w:r>
              <w:rPr>
                <w:rFonts w:ascii="Arial" w:eastAsia="Arial" w:hAnsi="Arial" w:cs="Arial"/>
                <w:sz w:val="24"/>
                <w:szCs w:val="24"/>
              </w:rPr>
              <w:t>Elementary Education (Major)</w:t>
            </w:r>
          </w:p>
          <w:p w:rsidR="00973881" w:rsidRDefault="003223AC" w:rsidP="00694B11">
            <w:r>
              <w:rPr>
                <w:rFonts w:ascii="Arial" w:eastAsia="Arial" w:hAnsi="Arial" w:cs="Arial"/>
                <w:sz w:val="24"/>
                <w:szCs w:val="24"/>
              </w:rPr>
              <w:t>Education (Minor)</w:t>
            </w:r>
          </w:p>
        </w:tc>
      </w:tr>
      <w:tr w:rsidR="00973881" w:rsidTr="00694B11">
        <w:trPr>
          <w:trHeight w:val="1448"/>
        </w:trPr>
        <w:tc>
          <w:tcPr>
            <w:tcW w:w="4664" w:type="dxa"/>
          </w:tcPr>
          <w:p w:rsidR="00973881" w:rsidRDefault="003223AC">
            <w:r>
              <w:rPr>
                <w:rFonts w:ascii="Arial" w:eastAsia="Arial" w:hAnsi="Arial" w:cs="Arial"/>
                <w:sz w:val="24"/>
                <w:szCs w:val="24"/>
              </w:rPr>
              <w:t>Health Science</w:t>
            </w:r>
          </w:p>
        </w:tc>
        <w:tc>
          <w:tcPr>
            <w:tcW w:w="4686" w:type="dxa"/>
          </w:tcPr>
          <w:p w:rsidR="00973881" w:rsidRDefault="003223AC">
            <w:r>
              <w:rPr>
                <w:rFonts w:ascii="Arial" w:eastAsia="Arial" w:hAnsi="Arial" w:cs="Arial"/>
                <w:sz w:val="24"/>
                <w:szCs w:val="24"/>
              </w:rPr>
              <w:t>Exercise Science (Pre-DPT track)(Major)</w:t>
            </w:r>
          </w:p>
          <w:p w:rsidR="00973881" w:rsidRDefault="003223AC">
            <w:r>
              <w:rPr>
                <w:rFonts w:ascii="Arial" w:eastAsia="Arial" w:hAnsi="Arial" w:cs="Arial"/>
                <w:sz w:val="24"/>
                <w:szCs w:val="24"/>
              </w:rPr>
              <w:t>Exercise Science (Health &amp; Fitness track) (Major)</w:t>
            </w:r>
          </w:p>
          <w:p w:rsidR="00973881" w:rsidRDefault="003223AC">
            <w:r>
              <w:rPr>
                <w:rFonts w:ascii="Arial" w:eastAsia="Arial" w:hAnsi="Arial" w:cs="Arial"/>
                <w:sz w:val="24"/>
                <w:szCs w:val="24"/>
              </w:rPr>
              <w:t>Occupational Therapy Assistant (Major)</w:t>
            </w:r>
          </w:p>
          <w:p w:rsidR="00973881" w:rsidRDefault="003223AC" w:rsidP="00694B11">
            <w:r>
              <w:rPr>
                <w:rFonts w:ascii="Arial" w:eastAsia="Arial" w:hAnsi="Arial" w:cs="Arial"/>
                <w:sz w:val="24"/>
                <w:szCs w:val="24"/>
              </w:rPr>
              <w:t>Nursing (Major)</w:t>
            </w:r>
          </w:p>
        </w:tc>
      </w:tr>
      <w:tr w:rsidR="00973881">
        <w:tc>
          <w:tcPr>
            <w:tcW w:w="4664" w:type="dxa"/>
          </w:tcPr>
          <w:p w:rsidR="00973881" w:rsidRDefault="003223AC">
            <w:r>
              <w:rPr>
                <w:rFonts w:ascii="Arial" w:eastAsia="Arial" w:hAnsi="Arial" w:cs="Arial"/>
                <w:sz w:val="24"/>
                <w:szCs w:val="24"/>
              </w:rPr>
              <w:t>Humanities</w:t>
            </w:r>
          </w:p>
        </w:tc>
        <w:tc>
          <w:tcPr>
            <w:tcW w:w="4686" w:type="dxa"/>
          </w:tcPr>
          <w:p w:rsidR="00973881" w:rsidRDefault="003223AC">
            <w:r>
              <w:rPr>
                <w:rFonts w:ascii="Arial" w:eastAsia="Arial" w:hAnsi="Arial" w:cs="Arial"/>
                <w:sz w:val="24"/>
                <w:szCs w:val="24"/>
              </w:rPr>
              <w:t>Communications (Major, Minor)</w:t>
            </w:r>
          </w:p>
          <w:p w:rsidR="00973881" w:rsidRDefault="003223AC">
            <w:r>
              <w:rPr>
                <w:rFonts w:ascii="Arial" w:eastAsia="Arial" w:hAnsi="Arial" w:cs="Arial"/>
                <w:sz w:val="24"/>
                <w:szCs w:val="24"/>
              </w:rPr>
              <w:t>English (Major)</w:t>
            </w:r>
          </w:p>
          <w:p w:rsidR="00973881" w:rsidRDefault="003223AC">
            <w:r>
              <w:rPr>
                <w:rFonts w:ascii="Arial" w:eastAsia="Arial" w:hAnsi="Arial" w:cs="Arial"/>
                <w:sz w:val="24"/>
                <w:szCs w:val="24"/>
              </w:rPr>
              <w:t>History (Major)</w:t>
            </w:r>
          </w:p>
          <w:p w:rsidR="00973881" w:rsidRDefault="003223AC">
            <w:r>
              <w:rPr>
                <w:rFonts w:ascii="Arial" w:eastAsia="Arial" w:hAnsi="Arial" w:cs="Arial"/>
                <w:sz w:val="24"/>
                <w:szCs w:val="24"/>
              </w:rPr>
              <w:t>Art History (Minor)</w:t>
            </w:r>
          </w:p>
          <w:p w:rsidR="00973881" w:rsidRDefault="003223AC">
            <w:r>
              <w:rPr>
                <w:rFonts w:ascii="Arial" w:eastAsia="Arial" w:hAnsi="Arial" w:cs="Arial"/>
                <w:sz w:val="24"/>
                <w:szCs w:val="24"/>
              </w:rPr>
              <w:t>Fine Arts (Minor)</w:t>
            </w:r>
          </w:p>
          <w:p w:rsidR="00973881" w:rsidRDefault="003223AC">
            <w:r>
              <w:rPr>
                <w:rFonts w:ascii="Arial" w:eastAsia="Arial" w:hAnsi="Arial" w:cs="Arial"/>
                <w:sz w:val="24"/>
                <w:szCs w:val="24"/>
              </w:rPr>
              <w:t>Language &amp; Cultural Studies (Minor)</w:t>
            </w:r>
          </w:p>
          <w:p w:rsidR="00973881" w:rsidRDefault="003223AC">
            <w:r>
              <w:rPr>
                <w:rFonts w:ascii="Arial" w:eastAsia="Arial" w:hAnsi="Arial" w:cs="Arial"/>
                <w:sz w:val="24"/>
                <w:szCs w:val="24"/>
              </w:rPr>
              <w:t>Philosophy (Minor)</w:t>
            </w:r>
          </w:p>
          <w:p w:rsidR="00973881" w:rsidRDefault="003223AC" w:rsidP="00694B11">
            <w:r>
              <w:rPr>
                <w:rFonts w:ascii="Arial" w:eastAsia="Arial" w:hAnsi="Arial" w:cs="Arial"/>
                <w:sz w:val="24"/>
                <w:szCs w:val="24"/>
              </w:rPr>
              <w:t>Religious Studies &amp; Theology (Minor)</w:t>
            </w:r>
          </w:p>
        </w:tc>
      </w:tr>
      <w:tr w:rsidR="00973881">
        <w:tc>
          <w:tcPr>
            <w:tcW w:w="4664" w:type="dxa"/>
          </w:tcPr>
          <w:p w:rsidR="00973881" w:rsidRDefault="003223AC">
            <w:r>
              <w:rPr>
                <w:rFonts w:ascii="Arial" w:eastAsia="Arial" w:hAnsi="Arial" w:cs="Arial"/>
                <w:sz w:val="24"/>
                <w:szCs w:val="24"/>
              </w:rPr>
              <w:t>Science and Math</w:t>
            </w:r>
          </w:p>
        </w:tc>
        <w:tc>
          <w:tcPr>
            <w:tcW w:w="4686" w:type="dxa"/>
          </w:tcPr>
          <w:p w:rsidR="00973881" w:rsidRDefault="003223AC">
            <w:r>
              <w:rPr>
                <w:rFonts w:ascii="Arial" w:eastAsia="Arial" w:hAnsi="Arial" w:cs="Arial"/>
                <w:sz w:val="24"/>
                <w:szCs w:val="24"/>
              </w:rPr>
              <w:t>Biochemistry (Major, Minor)</w:t>
            </w:r>
          </w:p>
          <w:p w:rsidR="00973881" w:rsidRDefault="003223AC">
            <w:r>
              <w:rPr>
                <w:rFonts w:ascii="Arial" w:eastAsia="Arial" w:hAnsi="Arial" w:cs="Arial"/>
                <w:sz w:val="24"/>
                <w:szCs w:val="24"/>
              </w:rPr>
              <w:t>Biology (Major)</w:t>
            </w:r>
          </w:p>
          <w:p w:rsidR="00973881" w:rsidRDefault="003223AC">
            <w:r>
              <w:rPr>
                <w:rFonts w:ascii="Arial" w:eastAsia="Arial" w:hAnsi="Arial" w:cs="Arial"/>
                <w:sz w:val="24"/>
                <w:szCs w:val="24"/>
              </w:rPr>
              <w:t>Chemistry (Major, Minor)</w:t>
            </w:r>
          </w:p>
          <w:p w:rsidR="00973881" w:rsidRDefault="003223AC">
            <w:r>
              <w:rPr>
                <w:rFonts w:ascii="Arial" w:eastAsia="Arial" w:hAnsi="Arial" w:cs="Arial"/>
                <w:sz w:val="24"/>
                <w:szCs w:val="24"/>
              </w:rPr>
              <w:t>Mathematics (Major)</w:t>
            </w:r>
          </w:p>
          <w:p w:rsidR="00973881" w:rsidRDefault="003223AC" w:rsidP="00694B11">
            <w:r>
              <w:rPr>
                <w:rFonts w:ascii="Arial" w:eastAsia="Arial" w:hAnsi="Arial" w:cs="Arial"/>
                <w:sz w:val="24"/>
                <w:szCs w:val="24"/>
              </w:rPr>
              <w:t>Forensic Science (Major)</w:t>
            </w:r>
          </w:p>
        </w:tc>
      </w:tr>
      <w:tr w:rsidR="00973881">
        <w:tc>
          <w:tcPr>
            <w:tcW w:w="4664" w:type="dxa"/>
          </w:tcPr>
          <w:p w:rsidR="00973881" w:rsidRDefault="003223AC">
            <w:r>
              <w:rPr>
                <w:rFonts w:ascii="Arial" w:eastAsia="Arial" w:hAnsi="Arial" w:cs="Arial"/>
                <w:sz w:val="24"/>
                <w:szCs w:val="24"/>
              </w:rPr>
              <w:t>Social Science</w:t>
            </w:r>
          </w:p>
        </w:tc>
        <w:tc>
          <w:tcPr>
            <w:tcW w:w="4686" w:type="dxa"/>
          </w:tcPr>
          <w:p w:rsidR="00973881" w:rsidRDefault="003223AC">
            <w:r>
              <w:rPr>
                <w:rFonts w:ascii="Arial" w:eastAsia="Arial" w:hAnsi="Arial" w:cs="Arial"/>
                <w:sz w:val="24"/>
                <w:szCs w:val="24"/>
              </w:rPr>
              <w:t>Criminal Justice (Major, Minor)</w:t>
            </w:r>
          </w:p>
          <w:p w:rsidR="00973881" w:rsidRDefault="003223AC">
            <w:r>
              <w:rPr>
                <w:rFonts w:ascii="Arial" w:eastAsia="Arial" w:hAnsi="Arial" w:cs="Arial"/>
                <w:sz w:val="24"/>
                <w:szCs w:val="24"/>
              </w:rPr>
              <w:t>Human Relations (Major)</w:t>
            </w:r>
          </w:p>
          <w:p w:rsidR="00973881" w:rsidRDefault="003223AC">
            <w:r>
              <w:rPr>
                <w:rFonts w:ascii="Arial" w:eastAsia="Arial" w:hAnsi="Arial" w:cs="Arial"/>
                <w:sz w:val="24"/>
                <w:szCs w:val="24"/>
              </w:rPr>
              <w:t>International Affairs (Major)</w:t>
            </w:r>
          </w:p>
          <w:p w:rsidR="00973881" w:rsidRDefault="003223AC">
            <w:r>
              <w:rPr>
                <w:rFonts w:ascii="Arial" w:eastAsia="Arial" w:hAnsi="Arial" w:cs="Arial"/>
                <w:sz w:val="24"/>
                <w:szCs w:val="24"/>
              </w:rPr>
              <w:t>Political Science (Major)</w:t>
            </w:r>
          </w:p>
          <w:p w:rsidR="00973881" w:rsidRDefault="003223AC">
            <w:r>
              <w:rPr>
                <w:rFonts w:ascii="Arial" w:eastAsia="Arial" w:hAnsi="Arial" w:cs="Arial"/>
                <w:sz w:val="24"/>
                <w:szCs w:val="24"/>
              </w:rPr>
              <w:t>Psychology (Major)</w:t>
            </w:r>
          </w:p>
          <w:p w:rsidR="00973881" w:rsidRDefault="003223AC">
            <w:r>
              <w:rPr>
                <w:rFonts w:ascii="Arial" w:eastAsia="Arial" w:hAnsi="Arial" w:cs="Arial"/>
                <w:sz w:val="24"/>
                <w:szCs w:val="24"/>
              </w:rPr>
              <w:t>Sociology (Major)</w:t>
            </w:r>
          </w:p>
          <w:p w:rsidR="00973881" w:rsidRDefault="003223AC">
            <w:r>
              <w:rPr>
                <w:rFonts w:ascii="Arial" w:eastAsia="Arial" w:hAnsi="Arial" w:cs="Arial"/>
                <w:sz w:val="24"/>
                <w:szCs w:val="24"/>
              </w:rPr>
              <w:t>Economics (Minor)</w:t>
            </w:r>
          </w:p>
          <w:p w:rsidR="00973881" w:rsidRDefault="003223AC" w:rsidP="00BF44EB">
            <w:r>
              <w:rPr>
                <w:rFonts w:ascii="Arial" w:eastAsia="Arial" w:hAnsi="Arial" w:cs="Arial"/>
                <w:sz w:val="24"/>
                <w:szCs w:val="24"/>
              </w:rPr>
              <w:t>Woman’s Studies (Minor)</w:t>
            </w:r>
          </w:p>
        </w:tc>
      </w:tr>
    </w:tbl>
    <w:p w:rsidR="001C5547" w:rsidRDefault="001C5547" w:rsidP="00BF44EB">
      <w:pPr>
        <w:spacing w:after="0" w:line="240" w:lineRule="auto"/>
        <w:ind w:left="-634"/>
        <w:rPr>
          <w:rFonts w:ascii="Arial" w:eastAsia="Arial" w:hAnsi="Arial" w:cs="Arial"/>
          <w:b/>
          <w:sz w:val="24"/>
          <w:szCs w:val="24"/>
        </w:rPr>
      </w:pPr>
    </w:p>
    <w:p w:rsidR="00BF44EB" w:rsidRDefault="00BF44EB" w:rsidP="00BF44EB">
      <w:pPr>
        <w:spacing w:after="0" w:line="240" w:lineRule="auto"/>
        <w:ind w:left="-634"/>
      </w:pPr>
      <w:r>
        <w:rPr>
          <w:rFonts w:ascii="Arial" w:eastAsia="Arial" w:hAnsi="Arial" w:cs="Arial"/>
          <w:b/>
          <w:sz w:val="24"/>
          <w:szCs w:val="24"/>
        </w:rPr>
        <w:t>Meta-Major:  Definition</w:t>
      </w:r>
    </w:p>
    <w:p w:rsidR="00BF44EB" w:rsidRDefault="00BF44EB" w:rsidP="00BF44EB">
      <w:pPr>
        <w:spacing w:after="0" w:line="240" w:lineRule="auto"/>
        <w:ind w:left="-634"/>
      </w:pPr>
      <w:r>
        <w:rPr>
          <w:rFonts w:ascii="Arial" w:eastAsia="Arial" w:hAnsi="Arial" w:cs="Arial"/>
          <w:sz w:val="24"/>
          <w:szCs w:val="24"/>
        </w:rPr>
        <w:t>A meta-major is a cluster of academic majors with related content and disciplinary focus. Having a meta-major will give students an academic pathway based on an area of interest to inform class selection and choose a major course of study. Trinity’s meta-majors are business, humanities, education, sciences &amp; mathematics, and social sciences.  Students who enrolled in fall 2015 were the first to take an interest survey leading to meta-major identification. Advising is in the earliest stages of this project and is in process of creating an assessment plan.</w:t>
      </w:r>
    </w:p>
    <w:p w:rsidR="00BF44EB" w:rsidRDefault="00BF44EB" w:rsidP="00BF44EB">
      <w:pPr>
        <w:spacing w:after="0" w:line="240" w:lineRule="auto"/>
        <w:ind w:left="-634"/>
      </w:pPr>
    </w:p>
    <w:p w:rsidR="00BF44EB" w:rsidRDefault="00BF44EB" w:rsidP="00BF44EB">
      <w:pPr>
        <w:spacing w:after="0" w:line="240" w:lineRule="auto"/>
        <w:ind w:left="-634"/>
      </w:pPr>
      <w:r>
        <w:rPr>
          <w:rFonts w:ascii="Arial" w:eastAsia="Arial" w:hAnsi="Arial" w:cs="Arial"/>
          <w:b/>
          <w:sz w:val="24"/>
          <w:szCs w:val="24"/>
        </w:rPr>
        <w:t>Meta-Majors, Advising, &amp; the First Year Curriculum</w:t>
      </w:r>
    </w:p>
    <w:p w:rsidR="00BF44EB" w:rsidRDefault="00BF44EB" w:rsidP="00BF44EB">
      <w:pPr>
        <w:spacing w:after="0" w:line="240" w:lineRule="auto"/>
        <w:ind w:left="-634"/>
        <w:rPr>
          <w:rFonts w:ascii="Arial" w:eastAsia="Arial" w:hAnsi="Arial" w:cs="Arial"/>
          <w:sz w:val="24"/>
          <w:szCs w:val="24"/>
        </w:rPr>
      </w:pPr>
      <w:r>
        <w:rPr>
          <w:rFonts w:ascii="Arial" w:eastAsia="Arial" w:hAnsi="Arial" w:cs="Arial"/>
          <w:sz w:val="24"/>
          <w:szCs w:val="24"/>
        </w:rPr>
        <w:t>CAS began using meta-majors to align with two changes in the college. The first change is the Appreciative Advising model in which students engage in envisioning their academic, career, and life goals. The Appreciative Advising model recognizes that students with goals are more likely to persist and graduate. Helping a student identify academic interests and see herself on a path to one of the majors in that area can positively affect retention*.  Meta-major decision will provide direction that can lead to earlier major declaration*. Advising will research best practice programs that show major declaration correlate</w:t>
      </w:r>
      <w:r w:rsidR="00C26388">
        <w:rPr>
          <w:rFonts w:ascii="Arial" w:eastAsia="Arial" w:hAnsi="Arial" w:cs="Arial"/>
          <w:sz w:val="24"/>
          <w:szCs w:val="24"/>
        </w:rPr>
        <w:t>s</w:t>
      </w:r>
      <w:r>
        <w:rPr>
          <w:rFonts w:ascii="Arial" w:eastAsia="Arial" w:hAnsi="Arial" w:cs="Arial"/>
          <w:sz w:val="24"/>
          <w:szCs w:val="24"/>
        </w:rPr>
        <w:t xml:space="preserve"> </w:t>
      </w:r>
      <w:r w:rsidR="00C26388">
        <w:rPr>
          <w:rFonts w:ascii="Arial" w:eastAsia="Arial" w:hAnsi="Arial" w:cs="Arial"/>
          <w:sz w:val="24"/>
          <w:szCs w:val="24"/>
        </w:rPr>
        <w:t>with</w:t>
      </w:r>
      <w:r>
        <w:rPr>
          <w:rFonts w:ascii="Arial" w:eastAsia="Arial" w:hAnsi="Arial" w:cs="Arial"/>
          <w:sz w:val="24"/>
          <w:szCs w:val="24"/>
        </w:rPr>
        <w:t xml:space="preserve"> student persistence outcomes. </w:t>
      </w:r>
    </w:p>
    <w:p w:rsidR="00BF44EB" w:rsidRDefault="00BF44EB" w:rsidP="00BF44EB">
      <w:pPr>
        <w:spacing w:after="0" w:line="240" w:lineRule="auto"/>
        <w:ind w:left="-634"/>
        <w:rPr>
          <w:rFonts w:ascii="Arial" w:eastAsia="Arial" w:hAnsi="Arial" w:cs="Arial"/>
          <w:sz w:val="24"/>
          <w:szCs w:val="24"/>
        </w:rPr>
      </w:pPr>
    </w:p>
    <w:p w:rsidR="00BF44EB" w:rsidRDefault="00BF44EB" w:rsidP="00BF44EB">
      <w:pPr>
        <w:spacing w:after="0" w:line="240" w:lineRule="auto"/>
        <w:ind w:left="-634"/>
      </w:pPr>
      <w:r>
        <w:rPr>
          <w:rFonts w:ascii="Arial" w:eastAsia="Arial" w:hAnsi="Arial" w:cs="Arial"/>
          <w:sz w:val="24"/>
          <w:szCs w:val="24"/>
        </w:rPr>
        <w:t>Meta-majors also align with</w:t>
      </w:r>
      <w:r w:rsidR="00C26388">
        <w:rPr>
          <w:rFonts w:ascii="Arial" w:eastAsia="Arial" w:hAnsi="Arial" w:cs="Arial"/>
          <w:sz w:val="24"/>
          <w:szCs w:val="24"/>
        </w:rPr>
        <w:t xml:space="preserve">, and are informed by, </w:t>
      </w:r>
      <w:r>
        <w:rPr>
          <w:rFonts w:ascii="Arial" w:eastAsia="Arial" w:hAnsi="Arial" w:cs="Arial"/>
          <w:sz w:val="24"/>
          <w:szCs w:val="24"/>
        </w:rPr>
        <w:t xml:space="preserve">the redesign of </w:t>
      </w:r>
      <w:r w:rsidR="00C26388">
        <w:rPr>
          <w:rFonts w:ascii="Arial" w:eastAsia="Arial" w:hAnsi="Arial" w:cs="Arial"/>
          <w:sz w:val="24"/>
          <w:szCs w:val="24"/>
        </w:rPr>
        <w:t>the</w:t>
      </w:r>
      <w:r>
        <w:rPr>
          <w:rFonts w:ascii="Arial" w:eastAsia="Arial" w:hAnsi="Arial" w:cs="Arial"/>
          <w:sz w:val="24"/>
          <w:szCs w:val="24"/>
        </w:rPr>
        <w:t xml:space="preserve"> foundational Math curriculum. </w:t>
      </w:r>
      <w:r w:rsidR="00C26388">
        <w:rPr>
          <w:rFonts w:ascii="Arial" w:eastAsia="Arial" w:hAnsi="Arial" w:cs="Arial"/>
          <w:sz w:val="24"/>
          <w:szCs w:val="24"/>
        </w:rPr>
        <w:t>Trinity’s</w:t>
      </w:r>
      <w:r>
        <w:rPr>
          <w:rFonts w:ascii="Arial" w:eastAsia="Arial" w:hAnsi="Arial" w:cs="Arial"/>
          <w:sz w:val="24"/>
          <w:szCs w:val="24"/>
        </w:rPr>
        <w:t xml:space="preserve"> new </w:t>
      </w:r>
      <w:r w:rsidR="00C26388">
        <w:rPr>
          <w:rFonts w:ascii="Arial" w:eastAsia="Arial" w:hAnsi="Arial" w:cs="Arial"/>
          <w:sz w:val="24"/>
          <w:szCs w:val="24"/>
        </w:rPr>
        <w:t xml:space="preserve">first-year </w:t>
      </w:r>
      <w:r>
        <w:rPr>
          <w:rFonts w:ascii="Arial" w:eastAsia="Arial" w:hAnsi="Arial" w:cs="Arial"/>
          <w:sz w:val="24"/>
          <w:szCs w:val="24"/>
        </w:rPr>
        <w:t xml:space="preserve">Math curriculum was designed to provide students with the appropriate quantitative skills for their intended course of study: </w:t>
      </w:r>
    </w:p>
    <w:p w:rsidR="00BF44EB" w:rsidRDefault="00BF44EB" w:rsidP="00BF44EB">
      <w:pPr>
        <w:numPr>
          <w:ilvl w:val="0"/>
          <w:numId w:val="1"/>
        </w:numPr>
        <w:spacing w:after="0" w:line="240" w:lineRule="auto"/>
        <w:ind w:hanging="360"/>
        <w:contextualSpacing/>
        <w:rPr>
          <w:rFonts w:ascii="Arial" w:eastAsia="Arial" w:hAnsi="Arial" w:cs="Arial"/>
          <w:sz w:val="24"/>
          <w:szCs w:val="24"/>
        </w:rPr>
      </w:pPr>
      <w:r>
        <w:rPr>
          <w:rFonts w:ascii="Arial" w:eastAsia="Arial" w:hAnsi="Arial" w:cs="Arial"/>
          <w:sz w:val="24"/>
          <w:szCs w:val="24"/>
        </w:rPr>
        <w:t>Math 102: prepares students for pre</w:t>
      </w:r>
      <w:r w:rsidR="00C26388">
        <w:rPr>
          <w:rFonts w:ascii="Arial" w:eastAsia="Arial" w:hAnsi="Arial" w:cs="Arial"/>
          <w:sz w:val="24"/>
          <w:szCs w:val="24"/>
        </w:rPr>
        <w:t>-</w:t>
      </w:r>
      <w:r>
        <w:rPr>
          <w:rFonts w:ascii="Arial" w:eastAsia="Arial" w:hAnsi="Arial" w:cs="Arial"/>
          <w:sz w:val="24"/>
          <w:szCs w:val="24"/>
        </w:rPr>
        <w:t>calculus and calculus sequences that they will need for Math and Science Majors</w:t>
      </w:r>
    </w:p>
    <w:p w:rsidR="00BF44EB" w:rsidRDefault="00BF44EB" w:rsidP="00BF44EB">
      <w:pPr>
        <w:numPr>
          <w:ilvl w:val="0"/>
          <w:numId w:val="1"/>
        </w:numPr>
        <w:spacing w:after="0" w:line="240" w:lineRule="auto"/>
        <w:ind w:hanging="360"/>
        <w:contextualSpacing/>
        <w:rPr>
          <w:rFonts w:ascii="Arial" w:eastAsia="Arial" w:hAnsi="Arial" w:cs="Arial"/>
          <w:sz w:val="24"/>
          <w:szCs w:val="24"/>
        </w:rPr>
      </w:pPr>
      <w:r>
        <w:rPr>
          <w:rFonts w:ascii="Arial" w:eastAsia="Arial" w:hAnsi="Arial" w:cs="Arial"/>
          <w:sz w:val="24"/>
          <w:szCs w:val="24"/>
        </w:rPr>
        <w:t xml:space="preserve">Math 108: prepares students with the quantitative literacy skills necessary for the fields of Education and Health Professionals, including </w:t>
      </w:r>
      <w:r w:rsidR="001C5547">
        <w:rPr>
          <w:rFonts w:ascii="Arial" w:eastAsia="Arial" w:hAnsi="Arial" w:cs="Arial"/>
          <w:sz w:val="24"/>
          <w:szCs w:val="24"/>
        </w:rPr>
        <w:t>learning outcomes relevant to</w:t>
      </w:r>
      <w:r>
        <w:rPr>
          <w:rFonts w:ascii="Arial" w:eastAsia="Arial" w:hAnsi="Arial" w:cs="Arial"/>
          <w:sz w:val="24"/>
          <w:szCs w:val="24"/>
        </w:rPr>
        <w:t xml:space="preserve"> certification exams</w:t>
      </w:r>
    </w:p>
    <w:p w:rsidR="00BF44EB" w:rsidRDefault="00BF44EB" w:rsidP="00BF44EB">
      <w:pPr>
        <w:numPr>
          <w:ilvl w:val="0"/>
          <w:numId w:val="1"/>
        </w:numPr>
        <w:spacing w:after="0" w:line="240" w:lineRule="auto"/>
        <w:ind w:hanging="360"/>
        <w:contextualSpacing/>
        <w:rPr>
          <w:rFonts w:ascii="Arial" w:eastAsia="Arial" w:hAnsi="Arial" w:cs="Arial"/>
          <w:sz w:val="24"/>
          <w:szCs w:val="24"/>
        </w:rPr>
      </w:pPr>
      <w:r>
        <w:rPr>
          <w:rFonts w:ascii="Arial" w:eastAsia="Arial" w:hAnsi="Arial" w:cs="Arial"/>
          <w:sz w:val="24"/>
          <w:szCs w:val="24"/>
        </w:rPr>
        <w:t>Math 109: prepares students with quantitative skills necessary for social sciences and humanities, such as statistics</w:t>
      </w:r>
    </w:p>
    <w:p w:rsidR="00BF44EB" w:rsidRDefault="00BF44EB" w:rsidP="00BF44EB">
      <w:pPr>
        <w:spacing w:after="0" w:line="240" w:lineRule="auto"/>
      </w:pPr>
    </w:p>
    <w:p w:rsidR="00BF44EB" w:rsidRDefault="00BF44EB" w:rsidP="00BF44EB">
      <w:pPr>
        <w:spacing w:after="0" w:line="240" w:lineRule="auto"/>
        <w:ind w:left="-630"/>
        <w:rPr>
          <w:rFonts w:ascii="Arial" w:eastAsia="Arial" w:hAnsi="Arial" w:cs="Arial"/>
          <w:sz w:val="24"/>
          <w:szCs w:val="24"/>
        </w:rPr>
      </w:pPr>
      <w:r>
        <w:rPr>
          <w:rFonts w:ascii="Arial" w:eastAsia="Arial" w:hAnsi="Arial" w:cs="Arial"/>
          <w:sz w:val="24"/>
          <w:szCs w:val="24"/>
        </w:rPr>
        <w:t xml:space="preserve">When new students register for courses </w:t>
      </w:r>
      <w:r w:rsidR="001C5547">
        <w:rPr>
          <w:rFonts w:ascii="Arial" w:eastAsia="Arial" w:hAnsi="Arial" w:cs="Arial"/>
          <w:sz w:val="24"/>
          <w:szCs w:val="24"/>
        </w:rPr>
        <w:t xml:space="preserve">advisors assist them in </w:t>
      </w:r>
      <w:r>
        <w:rPr>
          <w:rFonts w:ascii="Arial" w:eastAsia="Arial" w:hAnsi="Arial" w:cs="Arial"/>
          <w:sz w:val="24"/>
          <w:szCs w:val="24"/>
        </w:rPr>
        <w:t>choos</w:t>
      </w:r>
      <w:r w:rsidR="001C5547">
        <w:rPr>
          <w:rFonts w:ascii="Arial" w:eastAsia="Arial" w:hAnsi="Arial" w:cs="Arial"/>
          <w:sz w:val="24"/>
          <w:szCs w:val="24"/>
        </w:rPr>
        <w:t xml:space="preserve">ing a Math course </w:t>
      </w:r>
      <w:r>
        <w:rPr>
          <w:rFonts w:ascii="Arial" w:eastAsia="Arial" w:hAnsi="Arial" w:cs="Arial"/>
          <w:sz w:val="24"/>
          <w:szCs w:val="24"/>
        </w:rPr>
        <w:t>based on their</w:t>
      </w:r>
      <w:r w:rsidR="001C5547">
        <w:rPr>
          <w:rFonts w:ascii="Arial" w:eastAsia="Arial" w:hAnsi="Arial" w:cs="Arial"/>
          <w:sz w:val="24"/>
          <w:szCs w:val="24"/>
        </w:rPr>
        <w:t xml:space="preserve"> i</w:t>
      </w:r>
      <w:r>
        <w:rPr>
          <w:rFonts w:ascii="Arial" w:eastAsia="Arial" w:hAnsi="Arial" w:cs="Arial"/>
          <w:sz w:val="24"/>
          <w:szCs w:val="24"/>
        </w:rPr>
        <w:t xml:space="preserve">ntended major. If students </w:t>
      </w:r>
      <w:r w:rsidR="001C5547">
        <w:rPr>
          <w:rFonts w:ascii="Arial" w:eastAsia="Arial" w:hAnsi="Arial" w:cs="Arial"/>
          <w:sz w:val="24"/>
          <w:szCs w:val="24"/>
        </w:rPr>
        <w:t xml:space="preserve">are undecided, they can choose a meta-major. To help, advising </w:t>
      </w:r>
      <w:r>
        <w:rPr>
          <w:rFonts w:ascii="Arial" w:eastAsia="Arial" w:hAnsi="Arial" w:cs="Arial"/>
          <w:sz w:val="24"/>
          <w:szCs w:val="24"/>
        </w:rPr>
        <w:t>provide</w:t>
      </w:r>
      <w:r w:rsidR="001C5547">
        <w:rPr>
          <w:rFonts w:ascii="Arial" w:eastAsia="Arial" w:hAnsi="Arial" w:cs="Arial"/>
          <w:sz w:val="24"/>
          <w:szCs w:val="24"/>
        </w:rPr>
        <w:t>s</w:t>
      </w:r>
      <w:r>
        <w:rPr>
          <w:rFonts w:ascii="Arial" w:eastAsia="Arial" w:hAnsi="Arial" w:cs="Arial"/>
          <w:sz w:val="24"/>
          <w:szCs w:val="24"/>
        </w:rPr>
        <w:t xml:space="preserve"> them with information on various majors, offer</w:t>
      </w:r>
      <w:r w:rsidR="001C5547">
        <w:rPr>
          <w:rFonts w:ascii="Arial" w:eastAsia="Arial" w:hAnsi="Arial" w:cs="Arial"/>
          <w:sz w:val="24"/>
          <w:szCs w:val="24"/>
        </w:rPr>
        <w:t>s</w:t>
      </w:r>
      <w:r>
        <w:rPr>
          <w:rFonts w:ascii="Arial" w:eastAsia="Arial" w:hAnsi="Arial" w:cs="Arial"/>
          <w:sz w:val="24"/>
          <w:szCs w:val="24"/>
        </w:rPr>
        <w:t xml:space="preserve"> them a link to a career assessment</w:t>
      </w:r>
      <w:r w:rsidR="001C5547">
        <w:rPr>
          <w:rFonts w:ascii="Arial" w:eastAsia="Arial" w:hAnsi="Arial" w:cs="Arial"/>
          <w:sz w:val="24"/>
          <w:szCs w:val="24"/>
        </w:rPr>
        <w:t xml:space="preserve">, and assists them in exploring </w:t>
      </w:r>
      <w:r>
        <w:rPr>
          <w:rFonts w:ascii="Arial" w:eastAsia="Arial" w:hAnsi="Arial" w:cs="Arial"/>
          <w:sz w:val="24"/>
          <w:szCs w:val="24"/>
        </w:rPr>
        <w:t>possible career paths. Once students have chosen their meta-major they can choose the appropriate foundational Math course.</w:t>
      </w:r>
    </w:p>
    <w:p w:rsidR="001C5547" w:rsidRDefault="001C5547" w:rsidP="00BF44EB">
      <w:pPr>
        <w:spacing w:after="0" w:line="240" w:lineRule="auto"/>
        <w:ind w:left="-630"/>
        <w:rPr>
          <w:rFonts w:ascii="Arial" w:eastAsia="Arial" w:hAnsi="Arial" w:cs="Arial"/>
          <w:sz w:val="24"/>
          <w:szCs w:val="24"/>
        </w:rPr>
      </w:pPr>
    </w:p>
    <w:p w:rsidR="001C5547" w:rsidRDefault="001C5547" w:rsidP="00BF44EB">
      <w:pPr>
        <w:spacing w:after="0" w:line="240" w:lineRule="auto"/>
        <w:ind w:left="-630"/>
        <w:rPr>
          <w:rFonts w:ascii="Arial" w:eastAsia="Arial" w:hAnsi="Arial" w:cs="Arial"/>
          <w:b/>
          <w:color w:val="000000" w:themeColor="text1"/>
          <w:sz w:val="24"/>
          <w:szCs w:val="24"/>
        </w:rPr>
      </w:pPr>
      <w:r w:rsidRPr="001C5547">
        <w:rPr>
          <w:rFonts w:ascii="Arial" w:eastAsia="Arial" w:hAnsi="Arial" w:cs="Arial"/>
          <w:b/>
          <w:color w:val="000000" w:themeColor="text1"/>
          <w:sz w:val="24"/>
          <w:szCs w:val="24"/>
        </w:rPr>
        <w:t>*Goals and Assessment Points</w:t>
      </w:r>
    </w:p>
    <w:p w:rsidR="001C5547" w:rsidRDefault="001C5547" w:rsidP="00BF44EB">
      <w:pPr>
        <w:spacing w:after="0" w:line="240" w:lineRule="auto"/>
        <w:ind w:left="-630"/>
        <w:rPr>
          <w:rFonts w:ascii="Arial" w:eastAsia="Arial" w:hAnsi="Arial" w:cs="Arial"/>
          <w:b/>
          <w:color w:val="000000" w:themeColor="text1"/>
          <w:sz w:val="24"/>
          <w:szCs w:val="24"/>
        </w:rPr>
      </w:pPr>
    </w:p>
    <w:p w:rsidR="001C5547" w:rsidRDefault="001C5547" w:rsidP="00BF44EB">
      <w:pPr>
        <w:spacing w:after="0" w:line="240" w:lineRule="auto"/>
        <w:ind w:left="-630"/>
        <w:rPr>
          <w:rFonts w:ascii="Arial" w:eastAsia="Arial" w:hAnsi="Arial" w:cs="Arial"/>
          <w:color w:val="000000" w:themeColor="text1"/>
          <w:sz w:val="24"/>
          <w:szCs w:val="24"/>
        </w:rPr>
      </w:pPr>
      <w:r>
        <w:rPr>
          <w:rFonts w:ascii="Arial" w:eastAsia="Arial" w:hAnsi="Arial" w:cs="Arial"/>
          <w:color w:val="000000" w:themeColor="text1"/>
          <w:sz w:val="24"/>
          <w:szCs w:val="24"/>
        </w:rPr>
        <w:t>Trinity expects meta-majors will help meet the following goals, which connect to Trinity’s strategic goal #1:  enrollment and retention and to student learning outcome assessment goals.</w:t>
      </w:r>
    </w:p>
    <w:p w:rsidR="001C5547" w:rsidRPr="001C5547" w:rsidRDefault="001C5547" w:rsidP="00BF44EB">
      <w:pPr>
        <w:spacing w:after="0" w:line="240" w:lineRule="auto"/>
        <w:ind w:left="-630"/>
        <w:rPr>
          <w:rFonts w:ascii="Arial" w:eastAsia="Arial" w:hAnsi="Arial" w:cs="Arial"/>
          <w:color w:val="000000" w:themeColor="text1"/>
          <w:sz w:val="24"/>
          <w:szCs w:val="24"/>
        </w:rPr>
      </w:pPr>
    </w:p>
    <w:p w:rsidR="001C5547" w:rsidRPr="001C5547" w:rsidRDefault="001C5547" w:rsidP="001C5547">
      <w:pPr>
        <w:pStyle w:val="ListParagraph"/>
        <w:numPr>
          <w:ilvl w:val="0"/>
          <w:numId w:val="2"/>
        </w:numPr>
        <w:spacing w:after="0" w:line="240" w:lineRule="auto"/>
        <w:rPr>
          <w:rFonts w:ascii="Arial" w:hAnsi="Arial" w:cs="Arial"/>
          <w:color w:val="000000" w:themeColor="text1"/>
          <w:sz w:val="24"/>
          <w:szCs w:val="24"/>
        </w:rPr>
      </w:pPr>
      <w:r w:rsidRPr="001C5547">
        <w:rPr>
          <w:rFonts w:ascii="Arial" w:hAnsi="Arial" w:cs="Arial"/>
          <w:color w:val="000000" w:themeColor="text1"/>
          <w:sz w:val="24"/>
          <w:szCs w:val="24"/>
        </w:rPr>
        <w:t>Meta-majors will improve retention by engaging students in identifying an academic track</w:t>
      </w:r>
    </w:p>
    <w:p w:rsidR="001C5547" w:rsidRPr="001C5547" w:rsidRDefault="001C5547" w:rsidP="001C5547">
      <w:pPr>
        <w:pStyle w:val="ListParagraph"/>
        <w:numPr>
          <w:ilvl w:val="0"/>
          <w:numId w:val="2"/>
        </w:numPr>
        <w:spacing w:after="0" w:line="240" w:lineRule="auto"/>
        <w:rPr>
          <w:rFonts w:ascii="Arial" w:hAnsi="Arial" w:cs="Arial"/>
          <w:color w:val="000000" w:themeColor="text1"/>
          <w:sz w:val="24"/>
          <w:szCs w:val="24"/>
        </w:rPr>
      </w:pPr>
      <w:r w:rsidRPr="001C5547">
        <w:rPr>
          <w:rFonts w:ascii="Arial" w:hAnsi="Arial" w:cs="Arial"/>
          <w:color w:val="000000" w:themeColor="text1"/>
          <w:sz w:val="24"/>
          <w:szCs w:val="24"/>
        </w:rPr>
        <w:t xml:space="preserve">Meta-majors will result in earlier selection of major, a factor in time-to-completion </w:t>
      </w:r>
    </w:p>
    <w:p w:rsidR="001C5547" w:rsidRPr="001C5547" w:rsidRDefault="001C5547" w:rsidP="001C5547">
      <w:pPr>
        <w:pStyle w:val="ListParagraph"/>
        <w:numPr>
          <w:ilvl w:val="0"/>
          <w:numId w:val="2"/>
        </w:numPr>
        <w:spacing w:after="0" w:line="240" w:lineRule="auto"/>
        <w:rPr>
          <w:rFonts w:ascii="Arial" w:hAnsi="Arial" w:cs="Arial"/>
          <w:color w:val="000000" w:themeColor="text1"/>
          <w:sz w:val="24"/>
          <w:szCs w:val="24"/>
        </w:rPr>
      </w:pPr>
      <w:r w:rsidRPr="001C5547">
        <w:rPr>
          <w:rFonts w:ascii="Arial" w:hAnsi="Arial" w:cs="Arial"/>
          <w:color w:val="000000" w:themeColor="text1"/>
          <w:sz w:val="24"/>
          <w:szCs w:val="24"/>
        </w:rPr>
        <w:t>Meta-major learning will provide a stronger academic foundation for major-specific academic work</w:t>
      </w:r>
    </w:p>
    <w:p w:rsidR="001C5547" w:rsidRPr="001C5547" w:rsidRDefault="001C5547" w:rsidP="001C5547">
      <w:pPr>
        <w:spacing w:after="0" w:line="240" w:lineRule="auto"/>
        <w:rPr>
          <w:rFonts w:ascii="Arial" w:hAnsi="Arial" w:cs="Arial"/>
          <w:color w:val="000000" w:themeColor="text1"/>
          <w:sz w:val="24"/>
          <w:szCs w:val="24"/>
        </w:rPr>
      </w:pPr>
    </w:p>
    <w:p w:rsidR="001C5547" w:rsidRPr="001C5547" w:rsidRDefault="001C5547" w:rsidP="001C5547">
      <w:pPr>
        <w:spacing w:after="0" w:line="240" w:lineRule="auto"/>
        <w:ind w:left="-720"/>
        <w:rPr>
          <w:rFonts w:ascii="Arial" w:hAnsi="Arial" w:cs="Arial"/>
          <w:color w:val="000000" w:themeColor="text1"/>
          <w:sz w:val="24"/>
          <w:szCs w:val="24"/>
        </w:rPr>
      </w:pPr>
      <w:r w:rsidRPr="001C5547">
        <w:rPr>
          <w:rFonts w:ascii="Arial" w:hAnsi="Arial" w:cs="Arial"/>
          <w:color w:val="000000" w:themeColor="text1"/>
          <w:sz w:val="24"/>
          <w:szCs w:val="24"/>
        </w:rPr>
        <w:t xml:space="preserve">Trinity’s advising program is currently engaged in designing an assessment plan for the hypothesis that meta-majors will lead to better retention, earlier declaration of major and time-to-completion, and stronger foundational learning outcomes. </w:t>
      </w:r>
    </w:p>
    <w:p w:rsidR="00973881" w:rsidRDefault="00973881">
      <w:pPr>
        <w:spacing w:after="0" w:line="240" w:lineRule="auto"/>
      </w:pPr>
    </w:p>
    <w:sectPr w:rsidR="00973881">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F9E" w:rsidRDefault="00453F9E">
      <w:pPr>
        <w:spacing w:after="0" w:line="240" w:lineRule="auto"/>
      </w:pPr>
      <w:r>
        <w:separator/>
      </w:r>
    </w:p>
  </w:endnote>
  <w:endnote w:type="continuationSeparator" w:id="0">
    <w:p w:rsidR="00453F9E" w:rsidRDefault="00453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881" w:rsidRDefault="00973881">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F9E" w:rsidRDefault="00453F9E">
      <w:pPr>
        <w:spacing w:after="0" w:line="240" w:lineRule="auto"/>
      </w:pPr>
      <w:r>
        <w:separator/>
      </w:r>
    </w:p>
  </w:footnote>
  <w:footnote w:type="continuationSeparator" w:id="0">
    <w:p w:rsidR="00453F9E" w:rsidRDefault="00453F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512AF"/>
    <w:multiLevelType w:val="hybridMultilevel"/>
    <w:tmpl w:val="2CF89912"/>
    <w:lvl w:ilvl="0" w:tplc="83DE420C">
      <w:start w:val="1"/>
      <w:numFmt w:val="decimal"/>
      <w:lvlText w:val="%1)"/>
      <w:lvlJc w:val="left"/>
      <w:pPr>
        <w:ind w:left="-270" w:hanging="360"/>
      </w:pPr>
      <w:rPr>
        <w:rFonts w:ascii="Arial" w:eastAsia="Arial" w:hAnsi="Arial" w:cs="Arial" w:hint="default"/>
        <w:sz w:val="24"/>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15:restartNumberingAfterBreak="0">
    <w:nsid w:val="61F82611"/>
    <w:multiLevelType w:val="multilevel"/>
    <w:tmpl w:val="154669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881"/>
    <w:rsid w:val="0010537D"/>
    <w:rsid w:val="001C5547"/>
    <w:rsid w:val="003223AC"/>
    <w:rsid w:val="003B4EB8"/>
    <w:rsid w:val="00453F9E"/>
    <w:rsid w:val="00694B11"/>
    <w:rsid w:val="00973881"/>
    <w:rsid w:val="00BF44EB"/>
    <w:rsid w:val="00C26388"/>
    <w:rsid w:val="00CC4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5C569B-839D-4E47-AB68-F03D5DA93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rsid w:val="001C5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3472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Trinity Washington University</Company>
  <LinksUpToDate>false</LinksUpToDate>
  <CharactersWithSpaces>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Barnett</dc:creator>
  <cp:lastModifiedBy>Kathelon Toliver</cp:lastModifiedBy>
  <cp:revision>2</cp:revision>
  <dcterms:created xsi:type="dcterms:W3CDTF">2016-03-16T21:00:00Z</dcterms:created>
  <dcterms:modified xsi:type="dcterms:W3CDTF">2016-03-16T21:00:00Z</dcterms:modified>
</cp:coreProperties>
</file>