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51" w:rsidRDefault="00785A8B">
      <w:pPr>
        <w:rPr>
          <w:b/>
          <w:u w:val="single"/>
        </w:rPr>
      </w:pPr>
      <w:r w:rsidRPr="00785A8B">
        <w:rPr>
          <w:b/>
          <w:u w:val="single"/>
        </w:rPr>
        <w:t>Post-Tenure Faculty Development and Review Prior to Promotion Applications</w:t>
      </w:r>
    </w:p>
    <w:p w:rsidR="00785A8B" w:rsidRDefault="00785A8B">
      <w:pPr>
        <w:rPr>
          <w:b/>
          <w:u w:val="single"/>
        </w:rPr>
      </w:pPr>
    </w:p>
    <w:p w:rsidR="00785A8B" w:rsidRDefault="00785A8B">
      <w:pPr>
        <w:rPr>
          <w:b/>
          <w:u w:val="single"/>
        </w:rPr>
      </w:pPr>
    </w:p>
    <w:p w:rsidR="00785A8B" w:rsidRDefault="00785A8B" w:rsidP="00785A8B">
      <w:pPr>
        <w:jc w:val="left"/>
      </w:pPr>
      <w:r>
        <w:t>Trinity’s Faculty Handbook recognizes the importance of ongoing faculty development after tenure.  The specific guidance on p. 45 of the Handbook is as follows:</w:t>
      </w:r>
    </w:p>
    <w:p w:rsidR="00785A8B" w:rsidRDefault="00785A8B" w:rsidP="00785A8B">
      <w:pPr>
        <w:jc w:val="left"/>
      </w:pPr>
    </w:p>
    <w:p w:rsidR="00785A8B" w:rsidRPr="00785A8B" w:rsidRDefault="00785A8B" w:rsidP="00785A8B">
      <w:pPr>
        <w:widowControl w:val="0"/>
        <w:autoSpaceDE w:val="0"/>
        <w:autoSpaceDN w:val="0"/>
        <w:adjustRightInd w:val="0"/>
        <w:ind w:left="720" w:right="0"/>
        <w:jc w:val="both"/>
        <w:rPr>
          <w:rFonts w:eastAsia="Times New Roman"/>
        </w:rPr>
      </w:pPr>
      <w:r w:rsidRPr="00785A8B">
        <w:rPr>
          <w:rFonts w:eastAsia="Times New Roman"/>
          <w:b/>
          <w:bCs/>
        </w:rPr>
        <w:t>D.  Post-Tenure Professional Development Program</w:t>
      </w:r>
    </w:p>
    <w:p w:rsidR="00785A8B" w:rsidRPr="00785A8B" w:rsidRDefault="00785A8B" w:rsidP="00785A8B">
      <w:pPr>
        <w:widowControl w:val="0"/>
        <w:autoSpaceDE w:val="0"/>
        <w:autoSpaceDN w:val="0"/>
        <w:adjustRightInd w:val="0"/>
        <w:ind w:left="720" w:right="0"/>
        <w:jc w:val="both"/>
        <w:rPr>
          <w:rFonts w:eastAsia="Times New Roman"/>
        </w:rPr>
      </w:pPr>
    </w:p>
    <w:p w:rsidR="00785A8B" w:rsidRPr="00785A8B" w:rsidRDefault="00785A8B" w:rsidP="00785A8B">
      <w:pPr>
        <w:widowControl w:val="0"/>
        <w:autoSpaceDE w:val="0"/>
        <w:autoSpaceDN w:val="0"/>
        <w:adjustRightInd w:val="0"/>
        <w:ind w:left="720" w:right="0"/>
        <w:jc w:val="both"/>
        <w:rPr>
          <w:rFonts w:eastAsia="Times New Roman"/>
        </w:rPr>
      </w:pPr>
      <w:r w:rsidRPr="00785A8B">
        <w:rPr>
          <w:rFonts w:eastAsia="Times New Roman"/>
        </w:rPr>
        <w:t>Post-tenure professional development is vital to the continuing growth and vitality of the faculty member as well as the College.  The years following tenure should reflect the full</w:t>
      </w:r>
      <w:bookmarkStart w:id="0" w:name="_GoBack"/>
      <w:bookmarkEnd w:id="0"/>
      <w:r w:rsidRPr="00785A8B">
        <w:rPr>
          <w:rFonts w:eastAsia="Times New Roman"/>
        </w:rPr>
        <w:t xml:space="preserve"> maturation of the faculty member as teacher, scholar and leader within the institution, the discipline and the profession of higher education generally.  Post-tenure professional development plans reflect an emphasis on continuous innovation and discovery of new opportunities for learning for both the faculty member and the students she teaches.  </w:t>
      </w:r>
    </w:p>
    <w:p w:rsidR="00785A8B" w:rsidRPr="00785A8B" w:rsidRDefault="00785A8B" w:rsidP="00785A8B">
      <w:pPr>
        <w:widowControl w:val="0"/>
        <w:autoSpaceDE w:val="0"/>
        <w:autoSpaceDN w:val="0"/>
        <w:adjustRightInd w:val="0"/>
        <w:ind w:left="720" w:right="0"/>
        <w:jc w:val="both"/>
        <w:rPr>
          <w:rFonts w:eastAsia="Times New Roman"/>
        </w:rPr>
      </w:pPr>
    </w:p>
    <w:p w:rsidR="00785A8B" w:rsidRPr="00785A8B" w:rsidRDefault="00785A8B" w:rsidP="00785A8B">
      <w:pPr>
        <w:widowControl w:val="0"/>
        <w:autoSpaceDE w:val="0"/>
        <w:autoSpaceDN w:val="0"/>
        <w:adjustRightInd w:val="0"/>
        <w:ind w:left="720" w:right="0"/>
        <w:jc w:val="both"/>
        <w:rPr>
          <w:rFonts w:eastAsia="Times New Roman"/>
        </w:rPr>
      </w:pPr>
      <w:r w:rsidRPr="00785A8B">
        <w:rPr>
          <w:rFonts w:eastAsia="Times New Roman"/>
        </w:rPr>
        <w:t>Post-tenure professional development plans are highly individualized according to the interests of each faculty member.  These plans include provisions for annual meetings with the academic deans to review professional growth; a written periodic self-assessment according to the plan is also a useful tool to sustain professional growth.</w:t>
      </w:r>
    </w:p>
    <w:p w:rsidR="00785A8B" w:rsidRDefault="00785A8B" w:rsidP="00785A8B">
      <w:pPr>
        <w:jc w:val="left"/>
      </w:pPr>
    </w:p>
    <w:p w:rsidR="00785A8B" w:rsidRDefault="00785A8B" w:rsidP="00785A8B">
      <w:pPr>
        <w:jc w:val="left"/>
      </w:pPr>
    </w:p>
    <w:p w:rsidR="00785A8B" w:rsidRDefault="00785A8B" w:rsidP="00785A8B">
      <w:pPr>
        <w:jc w:val="left"/>
      </w:pPr>
      <w:r>
        <w:t>Additionally, the Handbook calls for periodic summative assessment of the tenured faculty in the section on assessment, pp 48-50, as follows:</w:t>
      </w:r>
    </w:p>
    <w:p w:rsidR="00785A8B" w:rsidRDefault="00785A8B" w:rsidP="00785A8B">
      <w:pPr>
        <w:jc w:val="left"/>
      </w:pPr>
    </w:p>
    <w:p w:rsidR="00785A8B" w:rsidRPr="00785A8B" w:rsidRDefault="00785A8B" w:rsidP="00785A8B">
      <w:pPr>
        <w:widowControl w:val="0"/>
        <w:autoSpaceDE w:val="0"/>
        <w:autoSpaceDN w:val="0"/>
        <w:adjustRightInd w:val="0"/>
        <w:ind w:left="720" w:right="0"/>
        <w:jc w:val="left"/>
        <w:rPr>
          <w:rFonts w:eastAsia="Times New Roman"/>
        </w:rPr>
      </w:pPr>
      <w:r w:rsidRPr="00785A8B">
        <w:rPr>
          <w:rFonts w:eastAsia="Times New Roman"/>
          <w:b/>
          <w:bCs/>
        </w:rPr>
        <w:t>B.  Summative Assessment</w:t>
      </w:r>
    </w:p>
    <w:p w:rsidR="00785A8B" w:rsidRPr="00785A8B" w:rsidRDefault="00785A8B" w:rsidP="00785A8B">
      <w:pPr>
        <w:widowControl w:val="0"/>
        <w:autoSpaceDE w:val="0"/>
        <w:autoSpaceDN w:val="0"/>
        <w:adjustRightInd w:val="0"/>
        <w:ind w:left="720" w:right="0"/>
        <w:jc w:val="left"/>
        <w:rPr>
          <w:rFonts w:eastAsia="Times New Roman"/>
          <w:u w:val="single"/>
        </w:rPr>
      </w:pPr>
    </w:p>
    <w:p w:rsidR="00785A8B" w:rsidRPr="00785A8B" w:rsidRDefault="00785A8B" w:rsidP="00785A8B">
      <w:pPr>
        <w:widowControl w:val="0"/>
        <w:autoSpaceDE w:val="0"/>
        <w:autoSpaceDN w:val="0"/>
        <w:adjustRightInd w:val="0"/>
        <w:ind w:left="720" w:right="0"/>
        <w:jc w:val="left"/>
        <w:rPr>
          <w:rFonts w:eastAsia="Times New Roman"/>
        </w:rPr>
      </w:pPr>
      <w:r w:rsidRPr="00785A8B">
        <w:rPr>
          <w:rFonts w:eastAsia="Times New Roman"/>
          <w:u w:val="single"/>
        </w:rPr>
        <w:t>1. Criteria for Assessment</w:t>
      </w:r>
    </w:p>
    <w:p w:rsidR="00785A8B" w:rsidRPr="00785A8B" w:rsidRDefault="00785A8B" w:rsidP="00785A8B">
      <w:pPr>
        <w:widowControl w:val="0"/>
        <w:autoSpaceDE w:val="0"/>
        <w:autoSpaceDN w:val="0"/>
        <w:adjustRightInd w:val="0"/>
        <w:ind w:left="720" w:right="0"/>
        <w:jc w:val="left"/>
        <w:rPr>
          <w:rFonts w:eastAsia="Times New Roman"/>
        </w:rPr>
      </w:pPr>
      <w:r w:rsidRPr="00785A8B">
        <w:rPr>
          <w:rFonts w:eastAsia="Times New Roman"/>
        </w:rPr>
        <w:t>The summative assessment process evaluates faculty performance according to these criteria:</w:t>
      </w:r>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autoSpaceDE w:val="0"/>
        <w:autoSpaceDN w:val="0"/>
        <w:adjustRightInd w:val="0"/>
        <w:ind w:left="720" w:right="0" w:firstLine="720"/>
        <w:jc w:val="left"/>
        <w:rPr>
          <w:rFonts w:eastAsia="Times New Roman"/>
        </w:rPr>
      </w:pPr>
      <w:r w:rsidRPr="00785A8B">
        <w:rPr>
          <w:rFonts w:eastAsia="Times New Roman"/>
        </w:rPr>
        <w:t>a. Teaching Quality: the faculty member demonstrates progressive improvements in the quality and effectiveness of teaching and teaching-related activities as measured through:</w:t>
      </w:r>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 xml:space="preserve">1) </w:t>
      </w:r>
      <w:r w:rsidRPr="00785A8B">
        <w:rPr>
          <w:rFonts w:eastAsia="Times New Roman"/>
        </w:rPr>
        <w:tab/>
      </w:r>
      <w:proofErr w:type="gramStart"/>
      <w:r w:rsidRPr="00785A8B">
        <w:rPr>
          <w:rFonts w:eastAsia="Times New Roman"/>
        </w:rPr>
        <w:t>appropriateness</w:t>
      </w:r>
      <w:proofErr w:type="gramEnd"/>
      <w:r w:rsidRPr="00785A8B">
        <w:rPr>
          <w:rFonts w:eastAsia="Times New Roman"/>
        </w:rPr>
        <w:t xml:space="preserve"> of course design and thoroughness of course syllabi</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 xml:space="preserve">2) </w:t>
      </w:r>
      <w:r w:rsidRPr="00785A8B">
        <w:rPr>
          <w:rFonts w:eastAsia="Times New Roman"/>
        </w:rPr>
        <w:tab/>
      </w:r>
      <w:proofErr w:type="gramStart"/>
      <w:r w:rsidRPr="00785A8B">
        <w:rPr>
          <w:rFonts w:eastAsia="Times New Roman"/>
        </w:rPr>
        <w:t>peer</w:t>
      </w:r>
      <w:proofErr w:type="gramEnd"/>
      <w:r w:rsidRPr="00785A8B">
        <w:rPr>
          <w:rFonts w:eastAsia="Times New Roman"/>
        </w:rPr>
        <w:t xml:space="preserve"> observations and analysis of classroom teaching</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 xml:space="preserve">3) </w:t>
      </w:r>
      <w:r w:rsidRPr="00785A8B">
        <w:rPr>
          <w:rFonts w:eastAsia="Times New Roman"/>
        </w:rPr>
        <w:tab/>
      </w:r>
      <w:proofErr w:type="gramStart"/>
      <w:r w:rsidRPr="00785A8B">
        <w:rPr>
          <w:rFonts w:eastAsia="Times New Roman"/>
        </w:rPr>
        <w:t>student</w:t>
      </w:r>
      <w:proofErr w:type="gramEnd"/>
      <w:r w:rsidRPr="00785A8B">
        <w:rPr>
          <w:rFonts w:eastAsia="Times New Roman"/>
        </w:rPr>
        <w:t xml:space="preserve"> course evaluations</w:t>
      </w:r>
    </w:p>
    <w:p w:rsid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4)</w:t>
      </w:r>
      <w:r w:rsidRPr="00785A8B">
        <w:rPr>
          <w:rFonts w:eastAsia="Times New Roman"/>
        </w:rPr>
        <w:tab/>
      </w:r>
      <w:proofErr w:type="gramStart"/>
      <w:r w:rsidRPr="00785A8B">
        <w:rPr>
          <w:rFonts w:eastAsia="Times New Roman"/>
        </w:rPr>
        <w:t>student</w:t>
      </w:r>
      <w:proofErr w:type="gramEnd"/>
      <w:r w:rsidRPr="00785A8B">
        <w:rPr>
          <w:rFonts w:eastAsia="Times New Roman"/>
        </w:rPr>
        <w:t xml:space="preserve"> advisement</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Pr>
          <w:rFonts w:eastAsia="Times New Roman"/>
        </w:rPr>
        <w:t>5)</w:t>
      </w:r>
      <w:r>
        <w:rPr>
          <w:rFonts w:eastAsia="Times New Roman"/>
        </w:rPr>
        <w:tab/>
      </w:r>
      <w:proofErr w:type="gramStart"/>
      <w:r w:rsidRPr="00785A8B">
        <w:rPr>
          <w:rFonts w:eastAsia="Times New Roman"/>
        </w:rPr>
        <w:t>pedagogical</w:t>
      </w:r>
      <w:proofErr w:type="gramEnd"/>
      <w:r w:rsidRPr="00785A8B">
        <w:rPr>
          <w:rFonts w:eastAsia="Times New Roman"/>
        </w:rPr>
        <w:t xml:space="preserve"> innovation</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6)</w:t>
      </w:r>
      <w:r w:rsidRPr="00785A8B">
        <w:rPr>
          <w:rFonts w:eastAsia="Times New Roman"/>
        </w:rPr>
        <w:tab/>
      </w:r>
      <w:proofErr w:type="gramStart"/>
      <w:r w:rsidRPr="00785A8B">
        <w:rPr>
          <w:rFonts w:eastAsia="Times New Roman"/>
        </w:rPr>
        <w:t>new</w:t>
      </w:r>
      <w:proofErr w:type="gramEnd"/>
      <w:r w:rsidRPr="00785A8B">
        <w:rPr>
          <w:rFonts w:eastAsia="Times New Roman"/>
        </w:rPr>
        <w:t xml:space="preserve"> course development</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7)</w:t>
      </w:r>
      <w:r w:rsidRPr="00785A8B">
        <w:rPr>
          <w:rFonts w:eastAsia="Times New Roman"/>
        </w:rPr>
        <w:tab/>
      </w:r>
      <w:proofErr w:type="gramStart"/>
      <w:r w:rsidRPr="00785A8B">
        <w:rPr>
          <w:rFonts w:eastAsia="Times New Roman"/>
        </w:rPr>
        <w:t>self-assessment</w:t>
      </w:r>
      <w:proofErr w:type="gramEnd"/>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autoSpaceDE w:val="0"/>
        <w:autoSpaceDN w:val="0"/>
        <w:adjustRightInd w:val="0"/>
        <w:ind w:left="720" w:right="0" w:firstLine="720"/>
        <w:jc w:val="left"/>
        <w:rPr>
          <w:rFonts w:eastAsia="Times New Roman"/>
        </w:rPr>
      </w:pPr>
      <w:r w:rsidRPr="00785A8B">
        <w:rPr>
          <w:rFonts w:eastAsia="Times New Roman"/>
        </w:rPr>
        <w:t>b. Scholarship: the faculty member demonstrates progressive growth in the range and depth of knowledge of the discipline, related interdisciplinary work, and new fields of learning, as measured through:</w:t>
      </w:r>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1)</w:t>
      </w:r>
      <w:r w:rsidRPr="00785A8B">
        <w:rPr>
          <w:rFonts w:eastAsia="Times New Roman"/>
        </w:rPr>
        <w:tab/>
      </w:r>
      <w:proofErr w:type="gramStart"/>
      <w:r w:rsidRPr="00785A8B">
        <w:rPr>
          <w:rFonts w:eastAsia="Times New Roman"/>
        </w:rPr>
        <w:t>continuous</w:t>
      </w:r>
      <w:proofErr w:type="gramEnd"/>
      <w:r w:rsidRPr="00785A8B">
        <w:rPr>
          <w:rFonts w:eastAsia="Times New Roman"/>
        </w:rPr>
        <w:t xml:space="preserve"> course preparation and syllabi development</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2)</w:t>
      </w:r>
      <w:r w:rsidRPr="00785A8B">
        <w:rPr>
          <w:rFonts w:eastAsia="Times New Roman"/>
        </w:rPr>
        <w:tab/>
      </w:r>
      <w:proofErr w:type="gramStart"/>
      <w:r w:rsidRPr="00785A8B">
        <w:rPr>
          <w:rFonts w:eastAsia="Times New Roman"/>
        </w:rPr>
        <w:t>new</w:t>
      </w:r>
      <w:proofErr w:type="gramEnd"/>
      <w:r w:rsidRPr="00785A8B">
        <w:rPr>
          <w:rFonts w:eastAsia="Times New Roman"/>
        </w:rPr>
        <w:t xml:space="preserve"> course development and pedagogical innovation</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3)</w:t>
      </w:r>
      <w:r w:rsidRPr="00785A8B">
        <w:rPr>
          <w:rFonts w:eastAsia="Times New Roman"/>
        </w:rPr>
        <w:tab/>
      </w:r>
      <w:proofErr w:type="gramStart"/>
      <w:r w:rsidRPr="00785A8B">
        <w:rPr>
          <w:rFonts w:eastAsia="Times New Roman"/>
        </w:rPr>
        <w:t>active</w:t>
      </w:r>
      <w:proofErr w:type="gramEnd"/>
      <w:r w:rsidRPr="00785A8B">
        <w:rPr>
          <w:rFonts w:eastAsia="Times New Roman"/>
        </w:rPr>
        <w:t xml:space="preserve"> participation in professional conferences</w:t>
      </w:r>
    </w:p>
    <w:p w:rsid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4)</w:t>
      </w:r>
      <w:r w:rsidRPr="00785A8B">
        <w:rPr>
          <w:rFonts w:eastAsia="Times New Roman"/>
        </w:rPr>
        <w:tab/>
      </w:r>
      <w:proofErr w:type="gramStart"/>
      <w:r w:rsidRPr="00785A8B">
        <w:rPr>
          <w:rFonts w:eastAsia="Times New Roman"/>
        </w:rPr>
        <w:t>presentations</w:t>
      </w:r>
      <w:proofErr w:type="gramEnd"/>
      <w:r w:rsidRPr="00785A8B">
        <w:rPr>
          <w:rFonts w:eastAsia="Times New Roman"/>
        </w:rPr>
        <w:t>, panels, papers and publications</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Pr>
          <w:rFonts w:eastAsia="Times New Roman"/>
        </w:rPr>
        <w:t>5)</w:t>
      </w:r>
      <w:r>
        <w:rPr>
          <w:rFonts w:eastAsia="Times New Roman"/>
        </w:rPr>
        <w:tab/>
      </w:r>
      <w:proofErr w:type="gramStart"/>
      <w:r w:rsidRPr="00785A8B">
        <w:rPr>
          <w:rFonts w:eastAsia="Times New Roman"/>
        </w:rPr>
        <w:t>external</w:t>
      </w:r>
      <w:proofErr w:type="gramEnd"/>
      <w:r w:rsidRPr="00785A8B">
        <w:rPr>
          <w:rFonts w:eastAsia="Times New Roman"/>
        </w:rPr>
        <w:t xml:space="preserve"> peer review</w:t>
      </w: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6)</w:t>
      </w:r>
      <w:r w:rsidRPr="00785A8B">
        <w:rPr>
          <w:rFonts w:eastAsia="Times New Roman"/>
        </w:rPr>
        <w:tab/>
      </w:r>
      <w:proofErr w:type="gramStart"/>
      <w:r w:rsidRPr="00785A8B">
        <w:rPr>
          <w:rFonts w:eastAsia="Times New Roman"/>
        </w:rPr>
        <w:t>self-assessment</w:t>
      </w:r>
      <w:proofErr w:type="gramEnd"/>
    </w:p>
    <w:p w:rsidR="00785A8B" w:rsidRDefault="00785A8B" w:rsidP="00785A8B">
      <w:pPr>
        <w:widowControl w:val="0"/>
        <w:autoSpaceDE w:val="0"/>
        <w:autoSpaceDN w:val="0"/>
        <w:adjustRightInd w:val="0"/>
        <w:ind w:left="2160" w:right="0" w:firstLine="720"/>
        <w:jc w:val="left"/>
        <w:rPr>
          <w:rFonts w:eastAsia="Times New Roman"/>
        </w:rPr>
      </w:pPr>
    </w:p>
    <w:p w:rsidR="00785A8B" w:rsidRPr="00785A8B" w:rsidRDefault="00785A8B" w:rsidP="00785A8B">
      <w:pPr>
        <w:widowControl w:val="0"/>
        <w:autoSpaceDE w:val="0"/>
        <w:autoSpaceDN w:val="0"/>
        <w:adjustRightInd w:val="0"/>
        <w:ind w:left="2160" w:right="0" w:firstLine="720"/>
        <w:jc w:val="left"/>
        <w:rPr>
          <w:rFonts w:eastAsia="Times New Roman"/>
        </w:rPr>
      </w:pPr>
      <w:r w:rsidRPr="00785A8B">
        <w:rPr>
          <w:rFonts w:eastAsia="Times New Roman"/>
        </w:rPr>
        <w:t>c. Contributions to the Academic and Institutional Community: the faculty member actively contributes to the development of Trinity as an academic community as well as to the vitality of the entire College, as measured through:</w:t>
      </w:r>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fldChar w:fldCharType="begin"/>
      </w:r>
      <w:r w:rsidRPr="00785A8B">
        <w:rPr>
          <w:rFonts w:eastAsia="Times New Roman"/>
        </w:rPr>
        <w:instrText>SEQ 1,_2,_3, \* Arabic \r 1</w:instrText>
      </w:r>
      <w:r w:rsidRPr="00785A8B">
        <w:rPr>
          <w:rFonts w:eastAsia="Times New Roman"/>
        </w:rPr>
        <w:fldChar w:fldCharType="separate"/>
      </w:r>
      <w:r w:rsidRPr="00785A8B">
        <w:rPr>
          <w:rFonts w:eastAsia="Times New Roman"/>
        </w:rPr>
        <w:t>1</w:t>
      </w:r>
      <w:r w:rsidRPr="00785A8B">
        <w:rPr>
          <w:rFonts w:eastAsia="Times New Roman"/>
        </w:rPr>
        <w:fldChar w:fldCharType="end"/>
      </w:r>
      <w:r w:rsidRPr="00785A8B">
        <w:rPr>
          <w:rFonts w:eastAsia="Times New Roman"/>
        </w:rPr>
        <w:t>)</w:t>
      </w:r>
      <w:r w:rsidRPr="00785A8B">
        <w:rPr>
          <w:rFonts w:eastAsia="Times New Roman"/>
        </w:rPr>
        <w:tab/>
      </w:r>
      <w:proofErr w:type="gramStart"/>
      <w:r w:rsidRPr="00785A8B">
        <w:rPr>
          <w:rFonts w:eastAsia="Times New Roman"/>
        </w:rPr>
        <w:t>effective</w:t>
      </w:r>
      <w:proofErr w:type="gramEnd"/>
      <w:r w:rsidRPr="00785A8B">
        <w:rPr>
          <w:rFonts w:eastAsia="Times New Roman"/>
        </w:rPr>
        <w:t xml:space="preserve"> participation in service activities described in Section III.</w:t>
      </w:r>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tabs>
          <w:tab w:val="left" w:pos="-1440"/>
          <w:tab w:val="num" w:pos="2160"/>
        </w:tabs>
        <w:autoSpaceDE w:val="0"/>
        <w:autoSpaceDN w:val="0"/>
        <w:adjustRightInd w:val="0"/>
        <w:ind w:left="2880" w:right="0" w:hanging="720"/>
        <w:jc w:val="left"/>
        <w:rPr>
          <w:rFonts w:eastAsia="Times New Roman"/>
        </w:rPr>
      </w:pPr>
      <w:r w:rsidRPr="00785A8B">
        <w:rPr>
          <w:rFonts w:eastAsia="Times New Roman"/>
        </w:rPr>
        <w:t>2)</w:t>
      </w:r>
      <w:r w:rsidRPr="00785A8B">
        <w:rPr>
          <w:rFonts w:eastAsia="Times New Roman"/>
        </w:rPr>
        <w:tab/>
        <w:t>active engagement with faculty colleagues in the broad range of tasks that contribute to developing the sense of academic community, e.g., brown bag lunches, collegial assistance on projects, coaching and consultation on pedagogical issues, collaborative teaching and collaborative program development;</w:t>
      </w:r>
    </w:p>
    <w:p w:rsidR="00785A8B" w:rsidRPr="00785A8B" w:rsidRDefault="00785A8B" w:rsidP="00785A8B">
      <w:pPr>
        <w:widowControl w:val="0"/>
        <w:autoSpaceDE w:val="0"/>
        <w:autoSpaceDN w:val="0"/>
        <w:adjustRightInd w:val="0"/>
        <w:ind w:left="720" w:right="0"/>
        <w:jc w:val="left"/>
        <w:rPr>
          <w:rFonts w:eastAsia="Times New Roman"/>
        </w:rPr>
      </w:pPr>
    </w:p>
    <w:p w:rsidR="00785A8B" w:rsidRPr="00785A8B" w:rsidRDefault="00785A8B" w:rsidP="00785A8B">
      <w:pPr>
        <w:widowControl w:val="0"/>
        <w:tabs>
          <w:tab w:val="left" w:pos="-1440"/>
        </w:tabs>
        <w:autoSpaceDE w:val="0"/>
        <w:autoSpaceDN w:val="0"/>
        <w:adjustRightInd w:val="0"/>
        <w:ind w:left="2880" w:right="0" w:hanging="720"/>
        <w:jc w:val="left"/>
        <w:rPr>
          <w:rFonts w:eastAsia="Times New Roman"/>
        </w:rPr>
      </w:pPr>
      <w:r w:rsidRPr="00785A8B">
        <w:rPr>
          <w:rFonts w:eastAsia="Times New Roman"/>
        </w:rPr>
        <w:t>3)</w:t>
      </w:r>
      <w:r w:rsidRPr="00785A8B">
        <w:rPr>
          <w:rFonts w:eastAsia="Times New Roman"/>
        </w:rPr>
        <w:tab/>
        <w:t xml:space="preserve">assistance to the College on matters of institution-wide importance, </w:t>
      </w:r>
      <w:proofErr w:type="spellStart"/>
      <w:r w:rsidRPr="00785A8B">
        <w:rPr>
          <w:rFonts w:eastAsia="Times New Roman"/>
        </w:rPr>
        <w:t>e.g.,consultation</w:t>
      </w:r>
      <w:proofErr w:type="spellEnd"/>
      <w:r w:rsidRPr="00785A8B">
        <w:rPr>
          <w:rFonts w:eastAsia="Times New Roman"/>
        </w:rPr>
        <w:t xml:space="preserve"> on new program development, assistance with admissions and fund raising efforts, facilitation of student affairs events, grant proposal preparation, leadership in accreditation reviews and other external institutional assessment activities;</w:t>
      </w:r>
    </w:p>
    <w:p w:rsidR="00785A8B" w:rsidRPr="00785A8B" w:rsidRDefault="00785A8B" w:rsidP="00785A8B">
      <w:pPr>
        <w:widowControl w:val="0"/>
        <w:autoSpaceDE w:val="0"/>
        <w:autoSpaceDN w:val="0"/>
        <w:adjustRightInd w:val="0"/>
        <w:ind w:left="0" w:right="0" w:firstLine="720"/>
        <w:jc w:val="left"/>
        <w:rPr>
          <w:rFonts w:eastAsia="Times New Roman"/>
        </w:rPr>
      </w:pPr>
      <w:r>
        <w:rPr>
          <w:rFonts w:eastAsia="Times New Roman"/>
        </w:rPr>
        <w:tab/>
      </w:r>
      <w:r>
        <w:rPr>
          <w:rFonts w:eastAsia="Times New Roman"/>
        </w:rPr>
        <w:tab/>
        <w:t>...</w:t>
      </w:r>
    </w:p>
    <w:p w:rsidR="00785A8B" w:rsidRPr="00785A8B" w:rsidRDefault="00785A8B" w:rsidP="00785A8B">
      <w:pPr>
        <w:widowControl w:val="0"/>
        <w:autoSpaceDE w:val="0"/>
        <w:autoSpaceDN w:val="0"/>
        <w:adjustRightInd w:val="0"/>
        <w:ind w:left="0" w:right="0"/>
        <w:jc w:val="left"/>
        <w:rPr>
          <w:rFonts w:eastAsia="Times New Roman"/>
          <w:u w:val="single"/>
        </w:rPr>
      </w:pPr>
    </w:p>
    <w:p w:rsidR="00785A8B" w:rsidRPr="00785A8B" w:rsidRDefault="00785A8B" w:rsidP="00785A8B">
      <w:pPr>
        <w:widowControl w:val="0"/>
        <w:autoSpaceDE w:val="0"/>
        <w:autoSpaceDN w:val="0"/>
        <w:adjustRightInd w:val="0"/>
        <w:ind w:left="1440" w:right="0"/>
        <w:jc w:val="left"/>
        <w:rPr>
          <w:rFonts w:eastAsia="Times New Roman"/>
        </w:rPr>
      </w:pPr>
      <w:r w:rsidRPr="00785A8B">
        <w:rPr>
          <w:rFonts w:eastAsia="Times New Roman"/>
          <w:u w:val="single"/>
        </w:rPr>
        <w:t>4.  Process for Summative Assessment: Tenured Faculty</w:t>
      </w:r>
    </w:p>
    <w:p w:rsidR="00785A8B" w:rsidRPr="00785A8B" w:rsidRDefault="00785A8B" w:rsidP="00785A8B">
      <w:pPr>
        <w:widowControl w:val="0"/>
        <w:autoSpaceDE w:val="0"/>
        <w:autoSpaceDN w:val="0"/>
        <w:adjustRightInd w:val="0"/>
        <w:ind w:left="1440" w:right="0"/>
        <w:jc w:val="left"/>
        <w:rPr>
          <w:rFonts w:eastAsia="Times New Roman"/>
        </w:rPr>
      </w:pPr>
    </w:p>
    <w:p w:rsidR="00785A8B" w:rsidRPr="00785A8B" w:rsidRDefault="00785A8B" w:rsidP="00785A8B">
      <w:pPr>
        <w:widowControl w:val="0"/>
        <w:autoSpaceDE w:val="0"/>
        <w:autoSpaceDN w:val="0"/>
        <w:adjustRightInd w:val="0"/>
        <w:ind w:left="1440" w:right="0"/>
        <w:jc w:val="left"/>
        <w:rPr>
          <w:rFonts w:eastAsia="Times New Roman"/>
        </w:rPr>
      </w:pPr>
      <w:r w:rsidRPr="00785A8B">
        <w:rPr>
          <w:rFonts w:eastAsia="Times New Roman"/>
        </w:rPr>
        <w:t xml:space="preserve">Tenured members of the faculty engage in summative assessment at least every three years.  The purpose of such periodic assessment is to encourage continuous growth in teaching quality, pedagogical innovation and scholarly productivity.  Tenured faculty may design the process for their periodic summative assessment as part of their professional development portfolio.  Such a process should be responsive to the “Criteria for Summative Assessment” listed above. </w:t>
      </w:r>
    </w:p>
    <w:p w:rsidR="00785A8B" w:rsidRPr="00785A8B" w:rsidRDefault="00785A8B" w:rsidP="00785A8B">
      <w:pPr>
        <w:widowControl w:val="0"/>
        <w:tabs>
          <w:tab w:val="center" w:pos="4680"/>
        </w:tabs>
        <w:autoSpaceDE w:val="0"/>
        <w:autoSpaceDN w:val="0"/>
        <w:adjustRightInd w:val="0"/>
        <w:ind w:left="0" w:right="0"/>
        <w:jc w:val="left"/>
        <w:rPr>
          <w:rFonts w:eastAsia="Times New Roman"/>
        </w:rPr>
      </w:pPr>
    </w:p>
    <w:p w:rsidR="00785A8B" w:rsidRDefault="00785A8B" w:rsidP="00785A8B">
      <w:pPr>
        <w:jc w:val="left"/>
      </w:pPr>
    </w:p>
    <w:p w:rsidR="00785A8B" w:rsidRDefault="00785A8B" w:rsidP="00785A8B">
      <w:pPr>
        <w:jc w:val="left"/>
      </w:pPr>
    </w:p>
    <w:p w:rsidR="00785A8B" w:rsidRDefault="00785A8B" w:rsidP="00785A8B">
      <w:pPr>
        <w:jc w:val="left"/>
      </w:pPr>
      <w:r>
        <w:t xml:space="preserve">While professional development and periodic summative assessment are important for all faculty, including tenured faculty, these processes take on particular importance in preparation for an application for promotion from associate to full professor.  Given the importance of ensuring that faculty development and assessment are occurring on a routine basis with tenured faculty, and particularly those planning to submit applications for promotion, </w:t>
      </w:r>
      <w:r w:rsidR="00063750">
        <w:t>following are steps that should occur prior to the application for promotion:</w:t>
      </w:r>
    </w:p>
    <w:p w:rsidR="00063750" w:rsidRDefault="00063750" w:rsidP="00785A8B">
      <w:pPr>
        <w:jc w:val="left"/>
      </w:pPr>
    </w:p>
    <w:p w:rsidR="00063750" w:rsidRDefault="00063750" w:rsidP="00785A8B">
      <w:pPr>
        <w:jc w:val="left"/>
      </w:pPr>
      <w:r>
        <w:lastRenderedPageBreak/>
        <w:t>1.  Annual professional development plans must demonstrate progressive improvement according to the criteria for promotion;</w:t>
      </w:r>
    </w:p>
    <w:p w:rsidR="00063750" w:rsidRDefault="00063750" w:rsidP="00785A8B">
      <w:pPr>
        <w:jc w:val="left"/>
      </w:pPr>
    </w:p>
    <w:p w:rsidR="00063750" w:rsidRDefault="00063750" w:rsidP="00785A8B">
      <w:pPr>
        <w:jc w:val="left"/>
      </w:pPr>
      <w:r>
        <w:t>2.  In order to ensure thoroughness and effectiveness in the professional development plans, at the direction of the provost the dean or provost should provide the feedback annually that the policy already in place calls for.</w:t>
      </w:r>
    </w:p>
    <w:p w:rsidR="00063750" w:rsidRDefault="00063750" w:rsidP="00785A8B">
      <w:pPr>
        <w:jc w:val="left"/>
      </w:pPr>
    </w:p>
    <w:p w:rsidR="00063750" w:rsidRPr="00785A8B" w:rsidRDefault="00063750" w:rsidP="00785A8B">
      <w:pPr>
        <w:jc w:val="left"/>
      </w:pPr>
      <w:r>
        <w:t>3.  Since the Handbook calls for a three-year cycle of summative assessment for post-tenure faculty, an application for promotion must provide evidence of the results of at least two such summative assessments in order to ensure that the application is ready for promotion.</w:t>
      </w:r>
    </w:p>
    <w:sectPr w:rsidR="00063750" w:rsidRPr="00785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Quicki"/>
      <w:lvlText w:val="%1."/>
      <w:lvlJc w:val="left"/>
      <w:pPr>
        <w:tabs>
          <w:tab w:val="num" w:pos="2880"/>
        </w:tabs>
      </w:pPr>
      <w:rPr>
        <w:rFonts w:ascii="Times New Roman" w:hAnsi="Times New Roman" w:cs="Times New Roman"/>
        <w:sz w:val="24"/>
        <w:szCs w:val="24"/>
      </w:rPr>
    </w:lvl>
  </w:abstractNum>
  <w:num w:numId="1">
    <w:abstractNumId w:val="0"/>
    <w:lvlOverride w:ilvl="0">
      <w:startOverride w:val="1"/>
      <w:lvl w:ilvl="0">
        <w:start w:val="1"/>
        <w:numFmt w:val="lowerRoman"/>
        <w:pStyle w:val="Quicki"/>
        <w:lvlText w:val="%1."/>
        <w:lvlJc w:val="left"/>
      </w:lvl>
    </w:lvlOverride>
  </w:num>
  <w:num w:numId="2">
    <w:abstractNumId w:val="0"/>
    <w:lvlOverride w:ilvl="0">
      <w:startOverride w:val="5"/>
      <w:lvl w:ilvl="0">
        <w:start w:val="5"/>
        <w:numFmt w:val="decimal"/>
        <w:pStyle w:val="Quicki"/>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8B"/>
    <w:rsid w:val="00063750"/>
    <w:rsid w:val="000737BD"/>
    <w:rsid w:val="00185A51"/>
    <w:rsid w:val="00785A8B"/>
    <w:rsid w:val="00AC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2FD8-4D1D-4494-BDC3-8F6C46C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785A8B"/>
    <w:pPr>
      <w:widowControl w:val="0"/>
      <w:numPr>
        <w:numId w:val="1"/>
      </w:numPr>
      <w:autoSpaceDE w:val="0"/>
      <w:autoSpaceDN w:val="0"/>
      <w:adjustRightInd w:val="0"/>
      <w:ind w:left="2880" w:right="0" w:hanging="720"/>
      <w:jc w:val="left"/>
    </w:pPr>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2</cp:revision>
  <dcterms:created xsi:type="dcterms:W3CDTF">2016-03-18T13:01:00Z</dcterms:created>
  <dcterms:modified xsi:type="dcterms:W3CDTF">2016-03-18T13:01:00Z</dcterms:modified>
</cp:coreProperties>
</file>