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EC" w:rsidRPr="001A5EEC" w:rsidRDefault="001A5EEC" w:rsidP="001A5EEC">
      <w:pPr>
        <w:jc w:val="center"/>
        <w:rPr>
          <w:b/>
        </w:rPr>
      </w:pPr>
      <w:bookmarkStart w:id="0" w:name="_GoBack"/>
      <w:bookmarkEnd w:id="0"/>
      <w:r w:rsidRPr="001A5EEC">
        <w:rPr>
          <w:b/>
          <w:noProof/>
        </w:rPr>
        <w:drawing>
          <wp:inline distT="0" distB="0" distL="0" distR="0">
            <wp:extent cx="4324350" cy="1076325"/>
            <wp:effectExtent l="19050" t="0" r="0" b="0"/>
            <wp:docPr id="18" name="Picture 1" descr="Trinity Logo in 2-color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 in 2-color Standard"/>
                    <pic:cNvPicPr>
                      <a:picLocks noChangeAspect="1" noChangeArrowheads="1"/>
                    </pic:cNvPicPr>
                  </pic:nvPicPr>
                  <pic:blipFill>
                    <a:blip r:embed="rId9" cstate="print"/>
                    <a:srcRect/>
                    <a:stretch>
                      <a:fillRect/>
                    </a:stretch>
                  </pic:blipFill>
                  <pic:spPr bwMode="auto">
                    <a:xfrm>
                      <a:off x="0" y="0"/>
                      <a:ext cx="4324350" cy="1076325"/>
                    </a:xfrm>
                    <a:prstGeom prst="rect">
                      <a:avLst/>
                    </a:prstGeom>
                    <a:noFill/>
                    <a:ln w="9525">
                      <a:noFill/>
                      <a:miter lim="800000"/>
                      <a:headEnd/>
                      <a:tailEnd/>
                    </a:ln>
                  </pic:spPr>
                </pic:pic>
              </a:graphicData>
            </a:graphic>
          </wp:inline>
        </w:drawing>
      </w:r>
    </w:p>
    <w:p w:rsidR="001A5EEC" w:rsidRPr="005B6869" w:rsidRDefault="001A5EEC" w:rsidP="001A5EEC">
      <w:pPr>
        <w:spacing w:after="0"/>
        <w:jc w:val="center"/>
        <w:rPr>
          <w:b/>
          <w:sz w:val="48"/>
          <w:szCs w:val="48"/>
        </w:rPr>
      </w:pPr>
      <w:smartTag w:uri="urn:schemas-microsoft-com:office:smarttags" w:element="place">
        <w:smartTag w:uri="urn:schemas-microsoft-com:office:smarttags" w:element="PlaceName">
          <w:r w:rsidRPr="005B6869">
            <w:rPr>
              <w:b/>
              <w:sz w:val="48"/>
              <w:szCs w:val="48"/>
            </w:rPr>
            <w:t>Trinity</w:t>
          </w:r>
        </w:smartTag>
        <w:r w:rsidRPr="005B6869">
          <w:rPr>
            <w:b/>
            <w:sz w:val="48"/>
            <w:szCs w:val="48"/>
          </w:rPr>
          <w:t xml:space="preserve"> </w:t>
        </w:r>
        <w:smartTag w:uri="urn:schemas-microsoft-com:office:smarttags" w:element="PlaceName">
          <w:r w:rsidRPr="005B6869">
            <w:rPr>
              <w:b/>
              <w:sz w:val="48"/>
              <w:szCs w:val="48"/>
            </w:rPr>
            <w:t>Washington</w:t>
          </w:r>
        </w:smartTag>
        <w:r w:rsidRPr="005B6869">
          <w:rPr>
            <w:b/>
            <w:sz w:val="48"/>
            <w:szCs w:val="48"/>
          </w:rPr>
          <w:t xml:space="preserve"> </w:t>
        </w:r>
        <w:smartTag w:uri="urn:schemas-microsoft-com:office:smarttags" w:element="PlaceType">
          <w:r w:rsidRPr="005B6869">
            <w:rPr>
              <w:b/>
              <w:sz w:val="48"/>
              <w:szCs w:val="48"/>
            </w:rPr>
            <w:t>University</w:t>
          </w:r>
        </w:smartTag>
      </w:smartTag>
    </w:p>
    <w:p w:rsidR="001A5EEC" w:rsidRPr="005B6869" w:rsidRDefault="001A5EEC" w:rsidP="001A5EEC">
      <w:pPr>
        <w:spacing w:after="0"/>
        <w:jc w:val="center"/>
        <w:rPr>
          <w:b/>
          <w:sz w:val="48"/>
          <w:szCs w:val="48"/>
        </w:rPr>
      </w:pPr>
      <w:r w:rsidRPr="005B6869">
        <w:rPr>
          <w:b/>
          <w:sz w:val="48"/>
          <w:szCs w:val="48"/>
        </w:rPr>
        <w:t>College of Arts and Sciences</w:t>
      </w:r>
    </w:p>
    <w:p w:rsidR="001A5EEC" w:rsidRDefault="001A5EEC" w:rsidP="001A5EEC">
      <w:pPr>
        <w:spacing w:after="0"/>
        <w:jc w:val="center"/>
        <w:rPr>
          <w:b/>
          <w:sz w:val="48"/>
          <w:szCs w:val="48"/>
        </w:rPr>
      </w:pPr>
      <w:r w:rsidRPr="005B6869">
        <w:rPr>
          <w:b/>
          <w:sz w:val="48"/>
          <w:szCs w:val="48"/>
        </w:rPr>
        <w:t xml:space="preserve">Staff Semester Report </w:t>
      </w:r>
    </w:p>
    <w:p w:rsidR="001A5EEC" w:rsidRPr="005B6869" w:rsidRDefault="001A5EEC" w:rsidP="001A5EEC">
      <w:pPr>
        <w:spacing w:after="0"/>
        <w:jc w:val="center"/>
        <w:rPr>
          <w:b/>
          <w:sz w:val="48"/>
          <w:szCs w:val="48"/>
        </w:rPr>
      </w:pPr>
    </w:p>
    <w:p w:rsidR="001A5EEC" w:rsidRPr="005B6869" w:rsidRDefault="001A5EEC" w:rsidP="001A5EEC">
      <w:pPr>
        <w:jc w:val="center"/>
        <w:rPr>
          <w:b/>
          <w:sz w:val="48"/>
          <w:szCs w:val="48"/>
        </w:rPr>
      </w:pPr>
      <w:r>
        <w:rPr>
          <w:b/>
          <w:sz w:val="48"/>
          <w:szCs w:val="48"/>
        </w:rPr>
        <w:t>Spring Semester 2013</w:t>
      </w:r>
    </w:p>
    <w:p w:rsidR="001A5EEC" w:rsidRDefault="001A5EEC" w:rsidP="001A5EEC">
      <w:pPr>
        <w:spacing w:after="0"/>
        <w:jc w:val="center"/>
        <w:rPr>
          <w:b/>
          <w:sz w:val="48"/>
          <w:szCs w:val="48"/>
        </w:rPr>
      </w:pPr>
      <w:r>
        <w:rPr>
          <w:b/>
          <w:sz w:val="48"/>
          <w:szCs w:val="48"/>
        </w:rPr>
        <w:t>Uzi Awret</w:t>
      </w:r>
    </w:p>
    <w:p w:rsidR="001A5EEC" w:rsidRDefault="001A5EEC" w:rsidP="001A5EEC">
      <w:pPr>
        <w:spacing w:after="0"/>
        <w:jc w:val="center"/>
        <w:rPr>
          <w:b/>
          <w:sz w:val="48"/>
          <w:szCs w:val="48"/>
        </w:rPr>
      </w:pPr>
      <w:r>
        <w:rPr>
          <w:b/>
          <w:sz w:val="48"/>
          <w:szCs w:val="48"/>
        </w:rPr>
        <w:t>Kimberly O’Shields</w:t>
      </w:r>
    </w:p>
    <w:p w:rsidR="001A5EEC" w:rsidRPr="005B6869" w:rsidRDefault="001A5EEC" w:rsidP="001A5EEC">
      <w:pPr>
        <w:spacing w:after="0"/>
        <w:jc w:val="center"/>
        <w:rPr>
          <w:b/>
          <w:sz w:val="48"/>
          <w:szCs w:val="48"/>
        </w:rPr>
      </w:pPr>
      <w:r w:rsidRPr="005B6869">
        <w:rPr>
          <w:b/>
          <w:sz w:val="48"/>
          <w:szCs w:val="48"/>
        </w:rPr>
        <w:t>Joseph Sheridan</w:t>
      </w:r>
    </w:p>
    <w:p w:rsidR="001A5EEC" w:rsidRDefault="001A5EEC" w:rsidP="001A5EEC">
      <w:pPr>
        <w:jc w:val="center"/>
        <w:rPr>
          <w:b/>
          <w:sz w:val="48"/>
          <w:szCs w:val="48"/>
        </w:rPr>
      </w:pPr>
      <w:r w:rsidRPr="005B6869">
        <w:rPr>
          <w:b/>
          <w:sz w:val="48"/>
          <w:szCs w:val="48"/>
        </w:rPr>
        <w:t>Mathematics Specialist</w:t>
      </w:r>
      <w:r>
        <w:rPr>
          <w:b/>
          <w:sz w:val="48"/>
          <w:szCs w:val="48"/>
        </w:rPr>
        <w:t>s</w:t>
      </w:r>
    </w:p>
    <w:p w:rsidR="001A5EEC" w:rsidRDefault="001A5EEC" w:rsidP="001A5EEC">
      <w:pPr>
        <w:jc w:val="center"/>
        <w:rPr>
          <w:b/>
          <w:sz w:val="48"/>
          <w:szCs w:val="48"/>
        </w:rPr>
      </w:pPr>
    </w:p>
    <w:p w:rsidR="001A5EEC" w:rsidRDefault="001A5EEC" w:rsidP="001A5EEC">
      <w:pPr>
        <w:jc w:val="center"/>
        <w:rPr>
          <w:b/>
          <w:sz w:val="48"/>
          <w:szCs w:val="48"/>
        </w:rPr>
      </w:pPr>
    </w:p>
    <w:p w:rsidR="001A5EEC" w:rsidRPr="005B6869" w:rsidRDefault="001A5EEC" w:rsidP="001A5EEC">
      <w:pPr>
        <w:jc w:val="center"/>
        <w:rPr>
          <w:b/>
          <w:sz w:val="48"/>
          <w:szCs w:val="48"/>
        </w:rPr>
        <w:sectPr w:rsidR="001A5EEC" w:rsidRPr="005B6869" w:rsidSect="00C8288A">
          <w:footerReference w:type="even" r:id="rId10"/>
          <w:footerReference w:type="default" r:id="rId11"/>
          <w:pgSz w:w="12240" w:h="15840"/>
          <w:pgMar w:top="1440" w:right="1800" w:bottom="1440" w:left="1800" w:header="720" w:footer="720" w:gutter="0"/>
          <w:cols w:space="720"/>
          <w:titlePg/>
          <w:docGrid w:linePitch="360"/>
        </w:sectPr>
      </w:pPr>
      <w:r w:rsidRPr="001A5EEC">
        <w:rPr>
          <w:b/>
          <w:noProof/>
          <w:sz w:val="48"/>
          <w:szCs w:val="48"/>
        </w:rPr>
        <w:drawing>
          <wp:inline distT="0" distB="0" distL="0" distR="0">
            <wp:extent cx="5486400" cy="1375873"/>
            <wp:effectExtent l="19050" t="0" r="0" b="0"/>
            <wp:docPr id="20" name="Picture 2" descr="Math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 Background 2"/>
                    <pic:cNvPicPr>
                      <a:picLocks noChangeAspect="1" noChangeArrowheads="1"/>
                    </pic:cNvPicPr>
                  </pic:nvPicPr>
                  <pic:blipFill>
                    <a:blip r:embed="rId12" cstate="print"/>
                    <a:srcRect/>
                    <a:stretch>
                      <a:fillRect/>
                    </a:stretch>
                  </pic:blipFill>
                  <pic:spPr bwMode="auto">
                    <a:xfrm>
                      <a:off x="0" y="0"/>
                      <a:ext cx="5486400" cy="1375873"/>
                    </a:xfrm>
                    <a:prstGeom prst="rect">
                      <a:avLst/>
                    </a:prstGeom>
                    <a:noFill/>
                    <a:ln w="9525">
                      <a:noFill/>
                      <a:miter lim="800000"/>
                      <a:headEnd/>
                      <a:tailEnd/>
                    </a:ln>
                  </pic:spPr>
                </pic:pic>
              </a:graphicData>
            </a:graphic>
          </wp:inline>
        </w:drawing>
      </w:r>
    </w:p>
    <w:p w:rsidR="001A5EEC" w:rsidRPr="001A5EEC" w:rsidRDefault="001A5EEC" w:rsidP="001A5EEC">
      <w:pPr>
        <w:rPr>
          <w:b/>
        </w:rPr>
      </w:pPr>
    </w:p>
    <w:p w:rsidR="001A5EEC" w:rsidRPr="00FB7067" w:rsidRDefault="008C095F" w:rsidP="001A5EEC">
      <w:pPr>
        <w:pStyle w:val="ListParagraph"/>
        <w:numPr>
          <w:ilvl w:val="0"/>
          <w:numId w:val="1"/>
        </w:numPr>
        <w:rPr>
          <w:rStyle w:val="Heading2Char"/>
          <w:rFonts w:asciiTheme="minorHAnsi" w:eastAsiaTheme="minorHAnsi" w:hAnsiTheme="minorHAnsi" w:cstheme="minorBidi"/>
          <w:bCs w:val="0"/>
          <w:i w:val="0"/>
          <w:iCs w:val="0"/>
          <w:sz w:val="22"/>
          <w:szCs w:val="22"/>
          <w:lang w:bidi="ar-SA"/>
        </w:rPr>
      </w:pPr>
      <w:r w:rsidRPr="001A5EEC">
        <w:rPr>
          <w:b/>
        </w:rPr>
        <w:t xml:space="preserve"> Introduc</w:t>
      </w:r>
      <w:r w:rsidR="00E14902" w:rsidRPr="001A5EEC">
        <w:rPr>
          <w:b/>
        </w:rPr>
        <w:t xml:space="preserve">tion </w:t>
      </w:r>
    </w:p>
    <w:p w:rsidR="00E14902" w:rsidRPr="00E14902" w:rsidRDefault="00E14902" w:rsidP="00E14902">
      <w:pPr>
        <w:pStyle w:val="Default"/>
        <w:rPr>
          <w:rStyle w:val="Heading2Char"/>
          <w:rFonts w:asciiTheme="minorHAnsi" w:eastAsia="Calibri" w:hAnsiTheme="minorHAnsi" w:cstheme="minorHAnsi"/>
          <w:b w:val="0"/>
          <w:i w:val="0"/>
          <w:sz w:val="22"/>
          <w:szCs w:val="22"/>
        </w:rPr>
      </w:pPr>
      <w:r w:rsidRPr="00342556">
        <w:rPr>
          <w:rStyle w:val="Heading2Char"/>
          <w:rFonts w:asciiTheme="minorHAnsi" w:eastAsia="Calibri" w:hAnsiTheme="minorHAnsi" w:cstheme="minorHAnsi"/>
          <w:i w:val="0"/>
          <w:sz w:val="22"/>
          <w:szCs w:val="22"/>
        </w:rPr>
        <w:t>Objectives</w:t>
      </w:r>
      <w:r w:rsidRPr="00E14902">
        <w:rPr>
          <w:rStyle w:val="Heading2Char"/>
          <w:rFonts w:asciiTheme="minorHAnsi" w:eastAsia="Calibri" w:hAnsiTheme="minorHAnsi" w:cstheme="minorHAnsi"/>
          <w:sz w:val="22"/>
          <w:szCs w:val="22"/>
        </w:rPr>
        <w:t>:</w:t>
      </w:r>
      <w:r>
        <w:rPr>
          <w:rStyle w:val="Heading2Char"/>
          <w:rFonts w:ascii="Times New Roman" w:eastAsia="Calibri" w:hAnsi="Times New Roman"/>
        </w:rPr>
        <w:t xml:space="preserve">  </w:t>
      </w:r>
      <w:r w:rsidRPr="00E14902">
        <w:rPr>
          <w:rStyle w:val="Heading2Char"/>
          <w:rFonts w:asciiTheme="minorHAnsi" w:eastAsia="Calibri" w:hAnsiTheme="minorHAnsi" w:cstheme="minorHAnsi"/>
          <w:b w:val="0"/>
          <w:i w:val="0"/>
          <w:sz w:val="22"/>
          <w:szCs w:val="22"/>
        </w:rPr>
        <w:t>The objective of this semester report is to as</w:t>
      </w:r>
      <w:r>
        <w:rPr>
          <w:rStyle w:val="Heading2Char"/>
          <w:rFonts w:asciiTheme="minorHAnsi" w:eastAsia="Calibri" w:hAnsiTheme="minorHAnsi" w:cstheme="minorHAnsi"/>
          <w:b w:val="0"/>
          <w:i w:val="0"/>
          <w:sz w:val="22"/>
          <w:szCs w:val="22"/>
        </w:rPr>
        <w:t>sess the continuing progress of all Math 100 level courses</w:t>
      </w:r>
      <w:r w:rsidRPr="00E14902">
        <w:rPr>
          <w:rStyle w:val="Heading2Char"/>
          <w:rFonts w:asciiTheme="minorHAnsi" w:eastAsia="Calibri" w:hAnsiTheme="minorHAnsi" w:cstheme="minorHAnsi"/>
          <w:b w:val="0"/>
          <w:i w:val="0"/>
          <w:sz w:val="22"/>
          <w:szCs w:val="22"/>
        </w:rPr>
        <w:t>.  The report will analyze correlations between pre-tests, post-tests and the students’ final grades.  Statistics will be used to correlate student outcomes in pre-requisite courses to the next sequential m</w:t>
      </w:r>
      <w:r w:rsidR="00342556">
        <w:rPr>
          <w:rStyle w:val="Heading2Char"/>
          <w:rFonts w:asciiTheme="minorHAnsi" w:eastAsia="Calibri" w:hAnsiTheme="minorHAnsi" w:cstheme="minorHAnsi"/>
          <w:b w:val="0"/>
          <w:i w:val="0"/>
          <w:sz w:val="22"/>
          <w:szCs w:val="22"/>
        </w:rPr>
        <w:t>ath courses</w:t>
      </w:r>
      <w:r w:rsidRPr="00E14902">
        <w:rPr>
          <w:rStyle w:val="Heading2Char"/>
          <w:rFonts w:asciiTheme="minorHAnsi" w:eastAsia="Calibri" w:hAnsiTheme="minorHAnsi" w:cstheme="minorHAnsi"/>
          <w:b w:val="0"/>
          <w:i w:val="0"/>
          <w:sz w:val="22"/>
          <w:szCs w:val="22"/>
        </w:rPr>
        <w:t xml:space="preserve">.   This report will also examine pass/fail rates of students placing into these courses with Accuplacer scores, students that are repeating a course, or in the case of </w:t>
      </w:r>
      <w:r w:rsidR="00342556">
        <w:rPr>
          <w:rStyle w:val="Heading2Char"/>
          <w:rFonts w:asciiTheme="minorHAnsi" w:eastAsia="Calibri" w:hAnsiTheme="minorHAnsi" w:cstheme="minorHAnsi"/>
          <w:b w:val="0"/>
          <w:i w:val="0"/>
          <w:sz w:val="22"/>
          <w:szCs w:val="22"/>
        </w:rPr>
        <w:t xml:space="preserve">courses other than Math 101S </w:t>
      </w:r>
      <w:r w:rsidRPr="00E14902">
        <w:rPr>
          <w:rStyle w:val="Heading2Char"/>
          <w:rFonts w:asciiTheme="minorHAnsi" w:eastAsia="Calibri" w:hAnsiTheme="minorHAnsi" w:cstheme="minorHAnsi"/>
          <w:b w:val="0"/>
          <w:i w:val="0"/>
          <w:sz w:val="22"/>
          <w:szCs w:val="22"/>
        </w:rPr>
        <w:t>, students’ successful completion of prerequisite math courses.  Additionally, the report will examine any trends in the learning outcomes that adversely affect the University’s retention goals.</w:t>
      </w:r>
    </w:p>
    <w:p w:rsidR="00342556" w:rsidRDefault="00342556" w:rsidP="00E14902">
      <w:pPr>
        <w:pStyle w:val="Default"/>
        <w:rPr>
          <w:rFonts w:asciiTheme="minorHAnsi" w:eastAsiaTheme="minorHAnsi" w:hAnsiTheme="minorHAnsi" w:cstheme="minorBidi"/>
          <w:b/>
          <w:color w:val="auto"/>
          <w:sz w:val="22"/>
          <w:szCs w:val="22"/>
        </w:rPr>
      </w:pPr>
    </w:p>
    <w:p w:rsidR="00E14902" w:rsidRDefault="00E14902" w:rsidP="00E14902">
      <w:pPr>
        <w:pStyle w:val="Default"/>
        <w:rPr>
          <w:rStyle w:val="Heading2Char"/>
          <w:rFonts w:asciiTheme="minorHAnsi" w:eastAsia="Calibri" w:hAnsiTheme="minorHAnsi" w:cstheme="minorHAnsi"/>
          <w:b w:val="0"/>
          <w:i w:val="0"/>
          <w:sz w:val="22"/>
          <w:szCs w:val="22"/>
        </w:rPr>
      </w:pPr>
      <w:r w:rsidRPr="00E14902">
        <w:rPr>
          <w:rStyle w:val="Heading2Char"/>
          <w:rFonts w:asciiTheme="minorHAnsi" w:eastAsia="Calibri" w:hAnsiTheme="minorHAnsi" w:cstheme="minorHAnsi"/>
          <w:i w:val="0"/>
          <w:sz w:val="22"/>
          <w:szCs w:val="22"/>
        </w:rPr>
        <w:t>Goals</w:t>
      </w:r>
      <w:r w:rsidRPr="00E14902">
        <w:rPr>
          <w:rStyle w:val="Heading2Char"/>
          <w:rFonts w:asciiTheme="minorHAnsi" w:eastAsia="Calibri" w:hAnsiTheme="minorHAnsi" w:cstheme="minorHAnsi"/>
          <w:b w:val="0"/>
          <w:i w:val="0"/>
          <w:sz w:val="22"/>
          <w:szCs w:val="22"/>
        </w:rPr>
        <w:t>: Th</w:t>
      </w:r>
      <w:r w:rsidR="0040643C">
        <w:rPr>
          <w:rStyle w:val="Heading2Char"/>
          <w:rFonts w:asciiTheme="minorHAnsi" w:eastAsia="Calibri" w:hAnsiTheme="minorHAnsi" w:cstheme="minorHAnsi"/>
          <w:b w:val="0"/>
          <w:i w:val="0"/>
          <w:sz w:val="22"/>
          <w:szCs w:val="22"/>
        </w:rPr>
        <w:t>e goals of this report are five</w:t>
      </w:r>
      <w:r w:rsidRPr="00E14902">
        <w:rPr>
          <w:rStyle w:val="Heading2Char"/>
          <w:rFonts w:asciiTheme="minorHAnsi" w:eastAsia="Calibri" w:hAnsiTheme="minorHAnsi" w:cstheme="minorHAnsi"/>
          <w:b w:val="0"/>
          <w:i w:val="0"/>
          <w:sz w:val="22"/>
          <w:szCs w:val="22"/>
        </w:rPr>
        <w:t>fold.   The first goal is to continuously examine and re-examine Math 101S to ensure that it is meeting the needs of our incoming student population each</w:t>
      </w:r>
      <w:r w:rsidR="0040643C">
        <w:rPr>
          <w:rStyle w:val="Heading2Char"/>
          <w:rFonts w:asciiTheme="minorHAnsi" w:eastAsia="Calibri" w:hAnsiTheme="minorHAnsi" w:cstheme="minorHAnsi"/>
          <w:b w:val="0"/>
          <w:i w:val="0"/>
          <w:sz w:val="22"/>
          <w:szCs w:val="22"/>
        </w:rPr>
        <w:t xml:space="preserve"> semester so that Trinity’s</w:t>
      </w:r>
      <w:r w:rsidRPr="00E14902">
        <w:rPr>
          <w:rStyle w:val="Heading2Char"/>
          <w:rFonts w:asciiTheme="minorHAnsi" w:eastAsia="Calibri" w:hAnsiTheme="minorHAnsi" w:cstheme="minorHAnsi"/>
          <w:b w:val="0"/>
          <w:i w:val="0"/>
          <w:sz w:val="22"/>
          <w:szCs w:val="22"/>
        </w:rPr>
        <w:t xml:space="preserve"> retention </w:t>
      </w:r>
      <w:r w:rsidR="0040643C">
        <w:rPr>
          <w:rStyle w:val="Heading2Char"/>
          <w:rFonts w:asciiTheme="minorHAnsi" w:eastAsia="Calibri" w:hAnsiTheme="minorHAnsi" w:cstheme="minorHAnsi"/>
          <w:b w:val="0"/>
          <w:i w:val="0"/>
          <w:sz w:val="22"/>
          <w:szCs w:val="22"/>
        </w:rPr>
        <w:t xml:space="preserve">goals </w:t>
      </w:r>
      <w:r w:rsidRPr="00E14902">
        <w:rPr>
          <w:rStyle w:val="Heading2Char"/>
          <w:rFonts w:asciiTheme="minorHAnsi" w:eastAsia="Calibri" w:hAnsiTheme="minorHAnsi" w:cstheme="minorHAnsi"/>
          <w:b w:val="0"/>
          <w:i w:val="0"/>
          <w:sz w:val="22"/>
          <w:szCs w:val="22"/>
        </w:rPr>
        <w:t>are met without compromising the course integrity or the course content standards. Secondly, this report examines the content and rigor of Math 102, so that our</w:t>
      </w:r>
      <w:r w:rsidR="0040643C">
        <w:rPr>
          <w:rStyle w:val="Heading2Char"/>
          <w:rFonts w:asciiTheme="minorHAnsi" w:eastAsia="Calibri" w:hAnsiTheme="minorHAnsi" w:cstheme="minorHAnsi"/>
          <w:b w:val="0"/>
          <w:i w:val="0"/>
          <w:sz w:val="22"/>
          <w:szCs w:val="22"/>
        </w:rPr>
        <w:t xml:space="preserve"> students choosing to major in</w:t>
      </w:r>
      <w:r w:rsidRPr="00E14902">
        <w:rPr>
          <w:rStyle w:val="Heading2Char"/>
          <w:rFonts w:asciiTheme="minorHAnsi" w:eastAsia="Calibri" w:hAnsiTheme="minorHAnsi" w:cstheme="minorHAnsi"/>
          <w:b w:val="0"/>
          <w:i w:val="0"/>
          <w:sz w:val="22"/>
          <w:szCs w:val="22"/>
        </w:rPr>
        <w:t xml:space="preserve"> math or science are prepared not only with the proper prerequisites but the mathematical skills t</w:t>
      </w:r>
      <w:r w:rsidR="0040643C">
        <w:rPr>
          <w:rStyle w:val="Heading2Char"/>
          <w:rFonts w:asciiTheme="minorHAnsi" w:eastAsia="Calibri" w:hAnsiTheme="minorHAnsi" w:cstheme="minorHAnsi"/>
          <w:b w:val="0"/>
          <w:i w:val="0"/>
          <w:sz w:val="22"/>
          <w:szCs w:val="22"/>
        </w:rPr>
        <w:t>o be successful in the next</w:t>
      </w:r>
      <w:r w:rsidRPr="00E14902">
        <w:rPr>
          <w:rStyle w:val="Heading2Char"/>
          <w:rFonts w:asciiTheme="minorHAnsi" w:eastAsia="Calibri" w:hAnsiTheme="minorHAnsi" w:cstheme="minorHAnsi"/>
          <w:b w:val="0"/>
          <w:i w:val="0"/>
          <w:sz w:val="22"/>
          <w:szCs w:val="22"/>
        </w:rPr>
        <w:t xml:space="preserve"> sequential</w:t>
      </w:r>
      <w:r w:rsidR="0040643C">
        <w:rPr>
          <w:rStyle w:val="Heading2Char"/>
          <w:rFonts w:asciiTheme="minorHAnsi" w:eastAsia="Calibri" w:hAnsiTheme="minorHAnsi" w:cstheme="minorHAnsi"/>
          <w:b w:val="0"/>
          <w:i w:val="0"/>
          <w:sz w:val="22"/>
          <w:szCs w:val="22"/>
        </w:rPr>
        <w:t xml:space="preserve"> math</w:t>
      </w:r>
      <w:r w:rsidRPr="00E14902">
        <w:rPr>
          <w:rStyle w:val="Heading2Char"/>
          <w:rFonts w:asciiTheme="minorHAnsi" w:eastAsia="Calibri" w:hAnsiTheme="minorHAnsi" w:cstheme="minorHAnsi"/>
          <w:b w:val="0"/>
          <w:i w:val="0"/>
          <w:sz w:val="22"/>
          <w:szCs w:val="22"/>
        </w:rPr>
        <w:t xml:space="preserve"> course, Math 123.  Third, this</w:t>
      </w:r>
      <w:r w:rsidR="00342556">
        <w:rPr>
          <w:rStyle w:val="Heading2Char"/>
          <w:rFonts w:asciiTheme="minorHAnsi" w:eastAsia="Calibri" w:hAnsiTheme="minorHAnsi" w:cstheme="minorHAnsi"/>
          <w:b w:val="0"/>
          <w:i w:val="0"/>
          <w:sz w:val="22"/>
          <w:szCs w:val="22"/>
        </w:rPr>
        <w:t xml:space="preserve"> report will examine the</w:t>
      </w:r>
      <w:r w:rsidRPr="00E14902">
        <w:rPr>
          <w:rStyle w:val="Heading2Char"/>
          <w:rFonts w:asciiTheme="minorHAnsi" w:eastAsia="Calibri" w:hAnsiTheme="minorHAnsi" w:cstheme="minorHAnsi"/>
          <w:b w:val="0"/>
          <w:i w:val="0"/>
          <w:sz w:val="22"/>
          <w:szCs w:val="22"/>
        </w:rPr>
        <w:t xml:space="preserve"> outcomes of </w:t>
      </w:r>
      <w:r w:rsidR="00342556">
        <w:rPr>
          <w:rStyle w:val="Heading2Char"/>
          <w:rFonts w:asciiTheme="minorHAnsi" w:eastAsia="Calibri" w:hAnsiTheme="minorHAnsi" w:cstheme="minorHAnsi"/>
          <w:b w:val="0"/>
          <w:i w:val="0"/>
          <w:sz w:val="22"/>
          <w:szCs w:val="22"/>
        </w:rPr>
        <w:t>the</w:t>
      </w:r>
      <w:r w:rsidRPr="00E14902">
        <w:rPr>
          <w:rStyle w:val="Heading2Char"/>
          <w:rFonts w:asciiTheme="minorHAnsi" w:eastAsia="Calibri" w:hAnsiTheme="minorHAnsi" w:cstheme="minorHAnsi"/>
          <w:b w:val="0"/>
          <w:i w:val="0"/>
          <w:sz w:val="22"/>
          <w:szCs w:val="22"/>
        </w:rPr>
        <w:t xml:space="preserve"> Math 108 course.  Math 108 was written over the summer of 2011 and its primary focus is towards the math skills needed for students majoring in the life and social sciences.</w:t>
      </w:r>
      <w:r w:rsidR="00342556">
        <w:rPr>
          <w:rStyle w:val="Heading2Char"/>
          <w:rFonts w:asciiTheme="minorHAnsi" w:eastAsia="Calibri" w:hAnsiTheme="minorHAnsi" w:cstheme="minorHAnsi"/>
          <w:b w:val="0"/>
          <w:i w:val="0"/>
          <w:sz w:val="22"/>
          <w:szCs w:val="22"/>
        </w:rPr>
        <w:t xml:space="preserve">  Fourth, this report will examine the outcomes of the Math 109 course, which has a strong focus on those stud</w:t>
      </w:r>
      <w:r w:rsidR="0040643C">
        <w:rPr>
          <w:rStyle w:val="Heading2Char"/>
          <w:rFonts w:asciiTheme="minorHAnsi" w:eastAsia="Calibri" w:hAnsiTheme="minorHAnsi" w:cstheme="minorHAnsi"/>
          <w:b w:val="0"/>
          <w:i w:val="0"/>
          <w:sz w:val="22"/>
          <w:szCs w:val="22"/>
        </w:rPr>
        <w:t>ents majoring in the humanities fields.  Finally</w:t>
      </w:r>
      <w:r w:rsidR="00342556">
        <w:rPr>
          <w:rStyle w:val="Heading2Char"/>
          <w:rFonts w:asciiTheme="minorHAnsi" w:eastAsia="Calibri" w:hAnsiTheme="minorHAnsi" w:cstheme="minorHAnsi"/>
          <w:b w:val="0"/>
          <w:i w:val="0"/>
          <w:sz w:val="22"/>
          <w:szCs w:val="22"/>
        </w:rPr>
        <w:t>, the report will examine the outcomes of the Math 11</w:t>
      </w:r>
      <w:r w:rsidR="0040643C">
        <w:rPr>
          <w:rStyle w:val="Heading2Char"/>
          <w:rFonts w:asciiTheme="minorHAnsi" w:eastAsia="Calibri" w:hAnsiTheme="minorHAnsi" w:cstheme="minorHAnsi"/>
          <w:b w:val="0"/>
          <w:i w:val="0"/>
          <w:sz w:val="22"/>
          <w:szCs w:val="22"/>
        </w:rPr>
        <w:t>0 course, which primarily focuses</w:t>
      </w:r>
      <w:r w:rsidR="00342556">
        <w:rPr>
          <w:rStyle w:val="Heading2Char"/>
          <w:rFonts w:asciiTheme="minorHAnsi" w:eastAsia="Calibri" w:hAnsiTheme="minorHAnsi" w:cstheme="minorHAnsi"/>
          <w:b w:val="0"/>
          <w:i w:val="0"/>
          <w:sz w:val="22"/>
          <w:szCs w:val="22"/>
        </w:rPr>
        <w:t xml:space="preserve"> on our students needs to develop an understanding of introductory statistics a</w:t>
      </w:r>
      <w:r w:rsidR="002A63B7">
        <w:rPr>
          <w:rStyle w:val="Heading2Char"/>
          <w:rFonts w:asciiTheme="minorHAnsi" w:eastAsia="Calibri" w:hAnsiTheme="minorHAnsi" w:cstheme="minorHAnsi"/>
          <w:b w:val="0"/>
          <w:i w:val="0"/>
          <w:sz w:val="22"/>
          <w:szCs w:val="22"/>
        </w:rPr>
        <w:t>nd critical analysis of real-life applications</w:t>
      </w:r>
      <w:r w:rsidR="00342556">
        <w:rPr>
          <w:rStyle w:val="Heading2Char"/>
          <w:rFonts w:asciiTheme="minorHAnsi" w:eastAsia="Calibri" w:hAnsiTheme="minorHAnsi" w:cstheme="minorHAnsi"/>
          <w:b w:val="0"/>
          <w:i w:val="0"/>
          <w:sz w:val="22"/>
          <w:szCs w:val="22"/>
        </w:rPr>
        <w:t>.</w:t>
      </w:r>
    </w:p>
    <w:p w:rsidR="00342556" w:rsidRDefault="00342556" w:rsidP="00E14902">
      <w:pPr>
        <w:pStyle w:val="Default"/>
        <w:rPr>
          <w:rStyle w:val="Heading2Char"/>
          <w:rFonts w:asciiTheme="minorHAnsi" w:eastAsia="Calibri" w:hAnsiTheme="minorHAnsi" w:cstheme="minorHAnsi"/>
          <w:b w:val="0"/>
          <w:i w:val="0"/>
          <w:sz w:val="22"/>
          <w:szCs w:val="22"/>
        </w:rPr>
      </w:pPr>
    </w:p>
    <w:p w:rsidR="00342556" w:rsidRDefault="00342556" w:rsidP="00E14902">
      <w:pPr>
        <w:pStyle w:val="Default"/>
        <w:rPr>
          <w:rStyle w:val="Heading2Char"/>
          <w:rFonts w:asciiTheme="minorHAnsi" w:eastAsia="Calibri" w:hAnsiTheme="minorHAnsi" w:cstheme="minorHAnsi"/>
          <w:b w:val="0"/>
          <w:i w:val="0"/>
          <w:sz w:val="22"/>
          <w:szCs w:val="22"/>
        </w:rPr>
      </w:pPr>
      <w:r w:rsidRPr="00BC3FF9">
        <w:rPr>
          <w:rStyle w:val="Heading2Char"/>
          <w:rFonts w:asciiTheme="minorHAnsi" w:eastAsia="Calibri" w:hAnsiTheme="minorHAnsi" w:cstheme="minorHAnsi"/>
          <w:i w:val="0"/>
          <w:sz w:val="22"/>
          <w:szCs w:val="22"/>
        </w:rPr>
        <w:t>Courses</w:t>
      </w:r>
      <w:r>
        <w:rPr>
          <w:rStyle w:val="Heading2Char"/>
          <w:rFonts w:asciiTheme="minorHAnsi" w:eastAsia="Calibri" w:hAnsiTheme="minorHAnsi" w:cstheme="minorHAnsi"/>
          <w:b w:val="0"/>
          <w:i w:val="0"/>
          <w:sz w:val="22"/>
          <w:szCs w:val="22"/>
        </w:rPr>
        <w:t>:  Math 101S</w:t>
      </w:r>
      <w:r>
        <w:rPr>
          <w:rStyle w:val="Heading2Char"/>
          <w:rFonts w:asciiTheme="minorHAnsi" w:eastAsia="Calibri" w:hAnsiTheme="minorHAnsi" w:cstheme="minorHAnsi"/>
          <w:b w:val="0"/>
          <w:i w:val="0"/>
          <w:sz w:val="22"/>
          <w:szCs w:val="22"/>
        </w:rPr>
        <w:tab/>
        <w:t>Introductory Algebra</w:t>
      </w:r>
    </w:p>
    <w:p w:rsidR="00342556" w:rsidRDefault="00342556" w:rsidP="00E14902">
      <w:pPr>
        <w:pStyle w:val="Default"/>
        <w:rPr>
          <w:rStyle w:val="Heading2Char"/>
          <w:rFonts w:asciiTheme="minorHAnsi" w:eastAsia="Calibri" w:hAnsiTheme="minorHAnsi" w:cstheme="minorHAnsi"/>
          <w:b w:val="0"/>
          <w:i w:val="0"/>
          <w:sz w:val="22"/>
          <w:szCs w:val="22"/>
        </w:rPr>
      </w:pPr>
      <w:r>
        <w:rPr>
          <w:rStyle w:val="Heading2Char"/>
          <w:rFonts w:asciiTheme="minorHAnsi" w:eastAsia="Calibri" w:hAnsiTheme="minorHAnsi" w:cstheme="minorHAnsi"/>
          <w:b w:val="0"/>
          <w:i w:val="0"/>
          <w:sz w:val="22"/>
          <w:szCs w:val="22"/>
        </w:rPr>
        <w:tab/>
        <w:t xml:space="preserve">    Math 102</w:t>
      </w:r>
      <w:r>
        <w:rPr>
          <w:rStyle w:val="Heading2Char"/>
          <w:rFonts w:asciiTheme="minorHAnsi" w:eastAsia="Calibri" w:hAnsiTheme="minorHAnsi" w:cstheme="minorHAnsi"/>
          <w:b w:val="0"/>
          <w:i w:val="0"/>
          <w:sz w:val="22"/>
          <w:szCs w:val="22"/>
        </w:rPr>
        <w:tab/>
        <w:t>Intermediate Algebra</w:t>
      </w:r>
    </w:p>
    <w:p w:rsidR="00342556" w:rsidRDefault="00342556" w:rsidP="00E14902">
      <w:pPr>
        <w:pStyle w:val="Default"/>
        <w:rPr>
          <w:rStyle w:val="Heading2Char"/>
          <w:rFonts w:asciiTheme="minorHAnsi" w:eastAsia="Calibri" w:hAnsiTheme="minorHAnsi" w:cstheme="minorHAnsi"/>
          <w:b w:val="0"/>
          <w:i w:val="0"/>
          <w:sz w:val="22"/>
          <w:szCs w:val="22"/>
        </w:rPr>
      </w:pPr>
      <w:r>
        <w:rPr>
          <w:rStyle w:val="Heading2Char"/>
          <w:rFonts w:asciiTheme="minorHAnsi" w:eastAsia="Calibri" w:hAnsiTheme="minorHAnsi" w:cstheme="minorHAnsi"/>
          <w:b w:val="0"/>
          <w:i w:val="0"/>
          <w:sz w:val="22"/>
          <w:szCs w:val="22"/>
        </w:rPr>
        <w:tab/>
        <w:t xml:space="preserve">    Math 108</w:t>
      </w:r>
      <w:r>
        <w:rPr>
          <w:rStyle w:val="Heading2Char"/>
          <w:rFonts w:asciiTheme="minorHAnsi" w:eastAsia="Calibri" w:hAnsiTheme="minorHAnsi" w:cstheme="minorHAnsi"/>
          <w:b w:val="0"/>
          <w:i w:val="0"/>
          <w:sz w:val="22"/>
          <w:szCs w:val="22"/>
        </w:rPr>
        <w:tab/>
        <w:t>Finite Mathematics</w:t>
      </w:r>
    </w:p>
    <w:p w:rsidR="00342556" w:rsidRDefault="00342556" w:rsidP="00E14902">
      <w:pPr>
        <w:pStyle w:val="Default"/>
        <w:rPr>
          <w:rStyle w:val="Heading2Char"/>
          <w:rFonts w:asciiTheme="minorHAnsi" w:eastAsia="Calibri" w:hAnsiTheme="minorHAnsi" w:cstheme="minorHAnsi"/>
          <w:b w:val="0"/>
          <w:i w:val="0"/>
          <w:sz w:val="22"/>
          <w:szCs w:val="22"/>
        </w:rPr>
      </w:pPr>
      <w:r>
        <w:rPr>
          <w:rStyle w:val="Heading2Char"/>
          <w:rFonts w:asciiTheme="minorHAnsi" w:eastAsia="Calibri" w:hAnsiTheme="minorHAnsi" w:cstheme="minorHAnsi"/>
          <w:b w:val="0"/>
          <w:i w:val="0"/>
          <w:sz w:val="22"/>
          <w:szCs w:val="22"/>
        </w:rPr>
        <w:tab/>
        <w:t xml:space="preserve">    Math 109</w:t>
      </w:r>
      <w:r>
        <w:rPr>
          <w:rStyle w:val="Heading2Char"/>
          <w:rFonts w:asciiTheme="minorHAnsi" w:eastAsia="Calibri" w:hAnsiTheme="minorHAnsi" w:cstheme="minorHAnsi"/>
          <w:b w:val="0"/>
          <w:i w:val="0"/>
          <w:sz w:val="22"/>
          <w:szCs w:val="22"/>
        </w:rPr>
        <w:tab/>
        <w:t>Foundations of Mathematics</w:t>
      </w:r>
    </w:p>
    <w:p w:rsidR="00342556" w:rsidRDefault="00342556" w:rsidP="00E14902">
      <w:pPr>
        <w:pStyle w:val="Default"/>
        <w:rPr>
          <w:rStyle w:val="Heading2Char"/>
          <w:rFonts w:asciiTheme="minorHAnsi" w:eastAsia="Calibri" w:hAnsiTheme="minorHAnsi" w:cstheme="minorHAnsi"/>
          <w:b w:val="0"/>
          <w:i w:val="0"/>
          <w:sz w:val="22"/>
          <w:szCs w:val="22"/>
        </w:rPr>
      </w:pPr>
      <w:r>
        <w:rPr>
          <w:rStyle w:val="Heading2Char"/>
          <w:rFonts w:asciiTheme="minorHAnsi" w:eastAsia="Calibri" w:hAnsiTheme="minorHAnsi" w:cstheme="minorHAnsi"/>
          <w:b w:val="0"/>
          <w:i w:val="0"/>
          <w:sz w:val="22"/>
          <w:szCs w:val="22"/>
        </w:rPr>
        <w:tab/>
        <w:t xml:space="preserve">    Math 110</w:t>
      </w:r>
      <w:r>
        <w:rPr>
          <w:rStyle w:val="Heading2Char"/>
          <w:rFonts w:asciiTheme="minorHAnsi" w:eastAsia="Calibri" w:hAnsiTheme="minorHAnsi" w:cstheme="minorHAnsi"/>
          <w:b w:val="0"/>
          <w:i w:val="0"/>
          <w:sz w:val="22"/>
          <w:szCs w:val="22"/>
        </w:rPr>
        <w:tab/>
        <w:t>Introductory Statistics</w:t>
      </w:r>
    </w:p>
    <w:p w:rsidR="00342556" w:rsidRDefault="00342556" w:rsidP="00E14902">
      <w:pPr>
        <w:pStyle w:val="Default"/>
        <w:rPr>
          <w:rStyle w:val="Heading2Char"/>
          <w:rFonts w:asciiTheme="minorHAnsi" w:eastAsia="Calibri" w:hAnsiTheme="minorHAnsi" w:cstheme="minorHAnsi"/>
          <w:b w:val="0"/>
          <w:i w:val="0"/>
          <w:sz w:val="22"/>
          <w:szCs w:val="22"/>
        </w:rPr>
      </w:pPr>
      <w:r>
        <w:rPr>
          <w:rStyle w:val="Heading2Char"/>
          <w:rFonts w:asciiTheme="minorHAnsi" w:eastAsia="Calibri" w:hAnsiTheme="minorHAnsi" w:cstheme="minorHAnsi"/>
          <w:b w:val="0"/>
          <w:i w:val="0"/>
          <w:sz w:val="22"/>
          <w:szCs w:val="22"/>
        </w:rPr>
        <w:tab/>
        <w:t xml:space="preserve">    Math 123 </w:t>
      </w:r>
      <w:r>
        <w:rPr>
          <w:rStyle w:val="Heading2Char"/>
          <w:rFonts w:asciiTheme="minorHAnsi" w:eastAsia="Calibri" w:hAnsiTheme="minorHAnsi" w:cstheme="minorHAnsi"/>
          <w:b w:val="0"/>
          <w:i w:val="0"/>
          <w:sz w:val="22"/>
          <w:szCs w:val="22"/>
        </w:rPr>
        <w:tab/>
        <w:t>Pre-Calculus</w:t>
      </w:r>
    </w:p>
    <w:p w:rsidR="00E14902" w:rsidRDefault="00E14902" w:rsidP="00E14902">
      <w:pPr>
        <w:ind w:left="1080"/>
      </w:pPr>
    </w:p>
    <w:p w:rsidR="00E14902" w:rsidRDefault="00E14902" w:rsidP="00342556">
      <w:r w:rsidRPr="00BC3FF9">
        <w:rPr>
          <w:b/>
        </w:rPr>
        <w:t xml:space="preserve">Summary of </w:t>
      </w:r>
      <w:r w:rsidR="00342556" w:rsidRPr="00BC3FF9">
        <w:rPr>
          <w:b/>
        </w:rPr>
        <w:t>Achievement</w:t>
      </w:r>
      <w:r>
        <w:t>:</w:t>
      </w:r>
    </w:p>
    <w:p w:rsidR="008F1D00" w:rsidRDefault="008F1D00" w:rsidP="008F1D00">
      <w:r>
        <w:t xml:space="preserve">A significant Math 110 </w:t>
      </w:r>
      <w:r w:rsidR="0040643C">
        <w:t>achievement</w:t>
      </w:r>
      <w:r>
        <w:t xml:space="preserve"> was the adjustment to not havi</w:t>
      </w:r>
      <w:r w:rsidR="0040643C">
        <w:t>ng the help aids provided in MyStatL</w:t>
      </w:r>
      <w:r>
        <w:t xml:space="preserve">ab.  In past semesters, many students relied solely on the aids to help solve the homework problems </w:t>
      </w:r>
      <w:r w:rsidR="0040643C">
        <w:t>and missed</w:t>
      </w:r>
      <w:r>
        <w:t xml:space="preserve"> the theory behind the problems which resulted in low exam scores.  The group of students who made the adjustment </w:t>
      </w:r>
      <w:r w:rsidR="0040643C">
        <w:t xml:space="preserve">to less homework assistance </w:t>
      </w:r>
      <w:r>
        <w:t xml:space="preserve">spent more time reading the </w:t>
      </w:r>
      <w:proofErr w:type="spellStart"/>
      <w:r>
        <w:t>ebook</w:t>
      </w:r>
      <w:proofErr w:type="spellEnd"/>
      <w:r>
        <w:t xml:space="preserve"> and only sought help after an attempt or two on their own.  This independent learning contributed to more confidence, a better understanding of the</w:t>
      </w:r>
      <w:r w:rsidR="0040643C">
        <w:t xml:space="preserve"> material and stronger</w:t>
      </w:r>
      <w:r>
        <w:t xml:space="preserve"> critical thinking.  These are all necessary skills especially at this level.</w:t>
      </w:r>
    </w:p>
    <w:p w:rsidR="003F7E40" w:rsidRDefault="003F7E40" w:rsidP="003F7E40">
      <w:r>
        <w:t>The Math 101S pedagogy has finally come to fruition after the elaborate re-write o</w:t>
      </w:r>
      <w:r w:rsidR="0040643C">
        <w:t>f the course a couple of summer</w:t>
      </w:r>
      <w:r>
        <w:t xml:space="preserve">s ago.  The following is the abstract that was accepted by the Mathematical Association of America’s </w:t>
      </w:r>
      <w:proofErr w:type="spellStart"/>
      <w:r>
        <w:t>MathFest</w:t>
      </w:r>
      <w:proofErr w:type="spellEnd"/>
      <w:r>
        <w:t xml:space="preserve"> and will be present</w:t>
      </w:r>
      <w:r w:rsidR="0040643C">
        <w:t>ed</w:t>
      </w:r>
      <w:r>
        <w:t xml:space="preserve"> as a paper by Dr. Kerry Luse, Chair of the Math Department</w:t>
      </w:r>
      <w:r w:rsidR="0040643C">
        <w:t>,</w:t>
      </w:r>
      <w:r>
        <w:t xml:space="preserve"> and Joseph Sheridan, Mathematics Specialist</w:t>
      </w:r>
      <w:r w:rsidR="0040643C">
        <w:t>,</w:t>
      </w:r>
      <w:r>
        <w:t xml:space="preserve"> in Hartford, CT</w:t>
      </w:r>
    </w:p>
    <w:p w:rsidR="003F7E40" w:rsidRDefault="003F7E40" w:rsidP="003F7E40"/>
    <w:p w:rsidR="00FB7067" w:rsidRDefault="00FB7067" w:rsidP="00FB7067">
      <w:pPr>
        <w:ind w:firstLine="720"/>
        <w:rPr>
          <w:rFonts w:cstheme="minorHAnsi"/>
        </w:rPr>
      </w:pPr>
    </w:p>
    <w:p w:rsidR="003F7E40" w:rsidRPr="003F7E40" w:rsidRDefault="003F7E40" w:rsidP="00FB7067">
      <w:pPr>
        <w:ind w:firstLine="720"/>
        <w:rPr>
          <w:rFonts w:cstheme="minorHAnsi"/>
        </w:rPr>
      </w:pPr>
      <w:r w:rsidRPr="003F7E40">
        <w:rPr>
          <w:rFonts w:cstheme="minorHAnsi"/>
        </w:rPr>
        <w:lastRenderedPageBreak/>
        <w:t xml:space="preserve">MAA </w:t>
      </w:r>
      <w:proofErr w:type="spellStart"/>
      <w:r w:rsidRPr="003F7E40">
        <w:rPr>
          <w:rFonts w:cstheme="minorHAnsi"/>
        </w:rPr>
        <w:t>MathFest</w:t>
      </w:r>
      <w:proofErr w:type="spellEnd"/>
      <w:r w:rsidRPr="003F7E40">
        <w:rPr>
          <w:rFonts w:cstheme="minorHAnsi"/>
        </w:rPr>
        <w:t xml:space="preserve"> 2013</w:t>
      </w:r>
      <w:r w:rsidR="00FB7067">
        <w:rPr>
          <w:rFonts w:cstheme="minorHAnsi"/>
        </w:rPr>
        <w:t xml:space="preserve"> </w:t>
      </w:r>
      <w:r w:rsidRPr="003F7E40">
        <w:rPr>
          <w:rFonts w:cstheme="minorHAnsi"/>
        </w:rPr>
        <w:t>ABSTRACT</w:t>
      </w:r>
    </w:p>
    <w:p w:rsidR="003F7E40" w:rsidRPr="003F7E40" w:rsidRDefault="003F7E40" w:rsidP="003F7E40">
      <w:pPr>
        <w:ind w:firstLine="360"/>
        <w:rPr>
          <w:rFonts w:cstheme="minorHAnsi"/>
        </w:rPr>
      </w:pPr>
      <w:r w:rsidRPr="003F7E40">
        <w:rPr>
          <w:rFonts w:cstheme="minorHAnsi"/>
        </w:rPr>
        <w:t>Serving the Under-Res</w:t>
      </w:r>
      <w:r w:rsidR="0040643C">
        <w:rPr>
          <w:rFonts w:cstheme="minorHAnsi"/>
        </w:rPr>
        <w:t>ourced Student in a University Setting T</w:t>
      </w:r>
      <w:r w:rsidRPr="003F7E40">
        <w:rPr>
          <w:rFonts w:cstheme="minorHAnsi"/>
        </w:rPr>
        <w:t>hrough Mathematics</w:t>
      </w:r>
    </w:p>
    <w:p w:rsidR="00FB7067" w:rsidRDefault="003F7E40" w:rsidP="00FB7067">
      <w:pPr>
        <w:ind w:left="360"/>
      </w:pPr>
      <w:r w:rsidRPr="003F7E40">
        <w:rPr>
          <w:rFonts w:cstheme="minorHAnsi"/>
        </w:rPr>
        <w:t xml:space="preserve">Statistics show that open-access schools enroll many students with little or no numerical competency.  A report referenced in the President’s State of the Union address on January 25, 2012 states that in “many minority institutions of higher education, 80-95% of entering freshman are required to take remedial math, reading, and English.  Even in these courses, the dropout rate is estimated to be around 70-80%.” Studies have shown that of the students who place into pre-foundational math courses nearly 75% either will not pass the pre-foundational course (or sequence) or, if they do pass, will fail at the next sequential credit-bearing course.  At Trinity, not only did we completely redesign our pre-foundational courses, but we also limited the pre-foundational sequence to one semester, added a one-credit student-centered supplemental laboratory, incorporated a rigorous adaptation of MyMathLab pedagogy in conjunction with Visual, Auditory and Kinesthetic (VAK) styled classroom lectures, and raised the standards of the course.  The curriculum redesign objectives were to (1) maintain math course content integrity, (2) develop students’ self-efficacy, and (3) improve retention.  Results after several semesters have shown that, for students who complete the course, the pass rate is 80% and that </w:t>
      </w:r>
      <w:r w:rsidR="0040643C">
        <w:rPr>
          <w:rFonts w:cstheme="minorHAnsi"/>
        </w:rPr>
        <w:t xml:space="preserve">the </w:t>
      </w:r>
      <w:r w:rsidRPr="003F7E40">
        <w:rPr>
          <w:rFonts w:cstheme="minorHAnsi"/>
        </w:rPr>
        <w:t>pre-foundational math students’ retention rate is 84%.  Furthermore, for students who successfully complete the pre-foundational math course and move on to the sequential credit-bearing course, the pass rate is now approaching 80%.  Our presentation will include a description of our standardized first year math courses, how we implemented them, and data collected over the last few semesters.</w:t>
      </w:r>
    </w:p>
    <w:p w:rsidR="008C095F" w:rsidRPr="00BC3FF9" w:rsidRDefault="008C095F" w:rsidP="008C095F">
      <w:pPr>
        <w:pStyle w:val="ListParagraph"/>
        <w:numPr>
          <w:ilvl w:val="0"/>
          <w:numId w:val="1"/>
        </w:numPr>
        <w:rPr>
          <w:b/>
        </w:rPr>
      </w:pPr>
      <w:r w:rsidRPr="00BC3FF9">
        <w:rPr>
          <w:b/>
        </w:rPr>
        <w:t xml:space="preserve"> Dashboard</w:t>
      </w:r>
    </w:p>
    <w:p w:rsidR="008C095F" w:rsidRDefault="008C095F" w:rsidP="008C095F">
      <w:pPr>
        <w:pStyle w:val="ListParagraph"/>
        <w:ind w:left="1080"/>
      </w:pPr>
    </w:p>
    <w:tbl>
      <w:tblPr>
        <w:tblStyle w:val="TableGrid"/>
        <w:tblW w:w="0" w:type="auto"/>
        <w:tblInd w:w="648" w:type="dxa"/>
        <w:tblLook w:val="04A0" w:firstRow="1" w:lastRow="0" w:firstColumn="1" w:lastColumn="0" w:noHBand="0" w:noVBand="1"/>
      </w:tblPr>
      <w:tblGrid>
        <w:gridCol w:w="1119"/>
        <w:gridCol w:w="1031"/>
        <w:gridCol w:w="1206"/>
        <w:gridCol w:w="1206"/>
        <w:gridCol w:w="388"/>
        <w:gridCol w:w="1518"/>
        <w:gridCol w:w="1230"/>
        <w:gridCol w:w="1230"/>
      </w:tblGrid>
      <w:tr w:rsidR="00363B22" w:rsidTr="000837A4">
        <w:tc>
          <w:tcPr>
            <w:tcW w:w="1119" w:type="dxa"/>
          </w:tcPr>
          <w:p w:rsidR="00363B22" w:rsidRDefault="00363B22" w:rsidP="008C095F">
            <w:pPr>
              <w:pStyle w:val="ListParagraph"/>
              <w:ind w:left="0"/>
            </w:pPr>
          </w:p>
        </w:tc>
        <w:tc>
          <w:tcPr>
            <w:tcW w:w="3443" w:type="dxa"/>
            <w:gridSpan w:val="3"/>
          </w:tcPr>
          <w:p w:rsidR="00363B22" w:rsidRDefault="00363B22" w:rsidP="008C095F">
            <w:pPr>
              <w:pStyle w:val="ListParagraph"/>
              <w:ind w:left="0"/>
            </w:pPr>
            <w:r>
              <w:t>Students Enrolled and Registered</w:t>
            </w:r>
          </w:p>
        </w:tc>
        <w:tc>
          <w:tcPr>
            <w:tcW w:w="388" w:type="dxa"/>
            <w:shd w:val="clear" w:color="auto" w:fill="auto"/>
          </w:tcPr>
          <w:p w:rsidR="00363B22" w:rsidRDefault="00363B22" w:rsidP="008C095F">
            <w:pPr>
              <w:pStyle w:val="ListParagraph"/>
              <w:ind w:left="0"/>
            </w:pPr>
          </w:p>
        </w:tc>
        <w:tc>
          <w:tcPr>
            <w:tcW w:w="3978" w:type="dxa"/>
            <w:gridSpan w:val="3"/>
          </w:tcPr>
          <w:p w:rsidR="00363B22" w:rsidRDefault="00363B22" w:rsidP="008C095F">
            <w:pPr>
              <w:pStyle w:val="ListParagraph"/>
              <w:ind w:left="0"/>
            </w:pPr>
            <w:r>
              <w:t>Students that Complete the Course</w:t>
            </w:r>
          </w:p>
        </w:tc>
      </w:tr>
      <w:tr w:rsidR="00363B22" w:rsidTr="00363B22">
        <w:tc>
          <w:tcPr>
            <w:tcW w:w="1119" w:type="dxa"/>
          </w:tcPr>
          <w:p w:rsidR="00363B22" w:rsidRDefault="00363B22" w:rsidP="008C095F">
            <w:pPr>
              <w:pStyle w:val="ListParagraph"/>
              <w:ind w:left="0"/>
            </w:pPr>
            <w:r>
              <w:t>Course</w:t>
            </w:r>
          </w:p>
        </w:tc>
        <w:tc>
          <w:tcPr>
            <w:tcW w:w="1031" w:type="dxa"/>
          </w:tcPr>
          <w:p w:rsidR="00363B22" w:rsidRDefault="00363B22" w:rsidP="008C095F">
            <w:pPr>
              <w:pStyle w:val="ListParagraph"/>
              <w:ind w:left="0"/>
            </w:pPr>
            <w:r>
              <w:t>Number of Student Enrolled</w:t>
            </w:r>
          </w:p>
        </w:tc>
        <w:tc>
          <w:tcPr>
            <w:tcW w:w="1206" w:type="dxa"/>
          </w:tcPr>
          <w:p w:rsidR="00363B22" w:rsidRDefault="00363B22" w:rsidP="008C095F">
            <w:pPr>
              <w:pStyle w:val="ListParagraph"/>
              <w:ind w:left="0"/>
            </w:pPr>
            <w:r>
              <w:t>Pass Rate – Registered for the Course (all students)</w:t>
            </w:r>
          </w:p>
        </w:tc>
        <w:tc>
          <w:tcPr>
            <w:tcW w:w="1206" w:type="dxa"/>
          </w:tcPr>
          <w:p w:rsidR="00363B22" w:rsidRDefault="00363B22" w:rsidP="008C095F">
            <w:pPr>
              <w:pStyle w:val="ListParagraph"/>
              <w:ind w:left="0"/>
            </w:pPr>
            <w:r>
              <w:t>Retention Rate – Registered for the Course</w:t>
            </w:r>
          </w:p>
        </w:tc>
        <w:tc>
          <w:tcPr>
            <w:tcW w:w="388" w:type="dxa"/>
          </w:tcPr>
          <w:p w:rsidR="00363B22" w:rsidRPr="00363B22" w:rsidRDefault="00363B22" w:rsidP="00363B22"/>
        </w:tc>
        <w:tc>
          <w:tcPr>
            <w:tcW w:w="1518" w:type="dxa"/>
          </w:tcPr>
          <w:p w:rsidR="00363B22" w:rsidRDefault="00363B22" w:rsidP="008C095F">
            <w:pPr>
              <w:pStyle w:val="ListParagraph"/>
              <w:ind w:left="0"/>
            </w:pPr>
            <w:r>
              <w:t>Number of Students that Completed the Course</w:t>
            </w:r>
          </w:p>
        </w:tc>
        <w:tc>
          <w:tcPr>
            <w:tcW w:w="1230" w:type="dxa"/>
          </w:tcPr>
          <w:p w:rsidR="00363B22" w:rsidRDefault="00363B22" w:rsidP="008C095F">
            <w:pPr>
              <w:pStyle w:val="ListParagraph"/>
              <w:ind w:left="0"/>
            </w:pPr>
            <w:r>
              <w:t>Pass Rate -  Completed the Course</w:t>
            </w:r>
          </w:p>
        </w:tc>
        <w:tc>
          <w:tcPr>
            <w:tcW w:w="1230" w:type="dxa"/>
          </w:tcPr>
          <w:p w:rsidR="00363B22" w:rsidRDefault="00363B22" w:rsidP="008C095F">
            <w:pPr>
              <w:pStyle w:val="ListParagraph"/>
              <w:ind w:left="0"/>
            </w:pPr>
            <w:r>
              <w:t>Retention Rate – Completed the Course</w:t>
            </w:r>
          </w:p>
        </w:tc>
      </w:tr>
      <w:tr w:rsidR="00363B22" w:rsidTr="00363B22">
        <w:tc>
          <w:tcPr>
            <w:tcW w:w="1119" w:type="dxa"/>
          </w:tcPr>
          <w:p w:rsidR="00363B22" w:rsidRDefault="00363B22" w:rsidP="008C095F">
            <w:pPr>
              <w:pStyle w:val="ListParagraph"/>
              <w:ind w:left="0"/>
            </w:pPr>
            <w:r>
              <w:t>Math 101S</w:t>
            </w:r>
          </w:p>
        </w:tc>
        <w:tc>
          <w:tcPr>
            <w:tcW w:w="1031" w:type="dxa"/>
          </w:tcPr>
          <w:p w:rsidR="00363B22" w:rsidRDefault="00363B22" w:rsidP="008C095F">
            <w:pPr>
              <w:pStyle w:val="ListParagraph"/>
              <w:ind w:left="0"/>
            </w:pPr>
            <w:r>
              <w:t>105</w:t>
            </w:r>
          </w:p>
        </w:tc>
        <w:tc>
          <w:tcPr>
            <w:tcW w:w="1206" w:type="dxa"/>
          </w:tcPr>
          <w:p w:rsidR="00363B22" w:rsidRDefault="00363B22" w:rsidP="008C095F">
            <w:pPr>
              <w:pStyle w:val="ListParagraph"/>
              <w:ind w:left="0"/>
            </w:pPr>
            <w:r>
              <w:t xml:space="preserve">    47%</w:t>
            </w:r>
          </w:p>
        </w:tc>
        <w:tc>
          <w:tcPr>
            <w:tcW w:w="1206" w:type="dxa"/>
          </w:tcPr>
          <w:p w:rsidR="00363B22" w:rsidRDefault="00363B22" w:rsidP="008C095F">
            <w:pPr>
              <w:pStyle w:val="ListParagraph"/>
              <w:ind w:left="0"/>
            </w:pPr>
            <w:r>
              <w:t xml:space="preserve">    50%</w:t>
            </w:r>
          </w:p>
        </w:tc>
        <w:tc>
          <w:tcPr>
            <w:tcW w:w="388" w:type="dxa"/>
          </w:tcPr>
          <w:p w:rsidR="00363B22" w:rsidRDefault="00363B22" w:rsidP="008C095F">
            <w:pPr>
              <w:pStyle w:val="ListParagraph"/>
              <w:ind w:left="0"/>
            </w:pPr>
          </w:p>
        </w:tc>
        <w:tc>
          <w:tcPr>
            <w:tcW w:w="1518" w:type="dxa"/>
          </w:tcPr>
          <w:p w:rsidR="00363B22" w:rsidRDefault="00363B22" w:rsidP="008C095F">
            <w:pPr>
              <w:pStyle w:val="ListParagraph"/>
              <w:ind w:left="0"/>
            </w:pPr>
            <w:r>
              <w:t xml:space="preserve">     59</w:t>
            </w:r>
          </w:p>
        </w:tc>
        <w:tc>
          <w:tcPr>
            <w:tcW w:w="1230" w:type="dxa"/>
          </w:tcPr>
          <w:p w:rsidR="00363B22" w:rsidRDefault="00363B22" w:rsidP="008C095F">
            <w:pPr>
              <w:pStyle w:val="ListParagraph"/>
              <w:ind w:left="0"/>
            </w:pPr>
            <w:r>
              <w:t xml:space="preserve">    83%</w:t>
            </w:r>
          </w:p>
        </w:tc>
        <w:tc>
          <w:tcPr>
            <w:tcW w:w="1230" w:type="dxa"/>
          </w:tcPr>
          <w:p w:rsidR="00363B22" w:rsidRDefault="00363B22" w:rsidP="008C095F">
            <w:pPr>
              <w:pStyle w:val="ListParagraph"/>
              <w:ind w:left="0"/>
            </w:pPr>
            <w:r>
              <w:t xml:space="preserve">     75%</w:t>
            </w:r>
          </w:p>
        </w:tc>
      </w:tr>
      <w:tr w:rsidR="00363B22" w:rsidTr="00363B22">
        <w:tc>
          <w:tcPr>
            <w:tcW w:w="1119" w:type="dxa"/>
          </w:tcPr>
          <w:p w:rsidR="00363B22" w:rsidRDefault="00363B22" w:rsidP="008C095F">
            <w:pPr>
              <w:pStyle w:val="ListParagraph"/>
              <w:ind w:left="0"/>
            </w:pPr>
            <w:r>
              <w:t>Math 102</w:t>
            </w:r>
          </w:p>
        </w:tc>
        <w:tc>
          <w:tcPr>
            <w:tcW w:w="1031" w:type="dxa"/>
          </w:tcPr>
          <w:p w:rsidR="00363B22" w:rsidRDefault="00363B22" w:rsidP="008C095F">
            <w:pPr>
              <w:pStyle w:val="ListParagraph"/>
              <w:ind w:left="0"/>
            </w:pPr>
            <w:r>
              <w:t xml:space="preserve">   22</w:t>
            </w:r>
          </w:p>
        </w:tc>
        <w:tc>
          <w:tcPr>
            <w:tcW w:w="1206" w:type="dxa"/>
          </w:tcPr>
          <w:p w:rsidR="00363B22" w:rsidRDefault="00363B22" w:rsidP="008C095F">
            <w:pPr>
              <w:pStyle w:val="ListParagraph"/>
              <w:ind w:left="0"/>
            </w:pPr>
            <w:r>
              <w:t xml:space="preserve">    73%</w:t>
            </w:r>
          </w:p>
        </w:tc>
        <w:tc>
          <w:tcPr>
            <w:tcW w:w="1206" w:type="dxa"/>
          </w:tcPr>
          <w:p w:rsidR="00363B22" w:rsidRDefault="00363B22" w:rsidP="008C095F">
            <w:pPr>
              <w:pStyle w:val="ListParagraph"/>
              <w:ind w:left="0"/>
            </w:pPr>
            <w:r>
              <w:t xml:space="preserve">    77%</w:t>
            </w:r>
          </w:p>
        </w:tc>
        <w:tc>
          <w:tcPr>
            <w:tcW w:w="388" w:type="dxa"/>
          </w:tcPr>
          <w:p w:rsidR="00363B22" w:rsidRDefault="00363B22" w:rsidP="008C095F">
            <w:pPr>
              <w:pStyle w:val="ListParagraph"/>
              <w:ind w:left="0"/>
            </w:pPr>
          </w:p>
        </w:tc>
        <w:tc>
          <w:tcPr>
            <w:tcW w:w="1518" w:type="dxa"/>
          </w:tcPr>
          <w:p w:rsidR="00363B22" w:rsidRDefault="00363B22" w:rsidP="008C095F">
            <w:pPr>
              <w:pStyle w:val="ListParagraph"/>
              <w:ind w:left="0"/>
            </w:pPr>
            <w:r>
              <w:t xml:space="preserve">     18</w:t>
            </w:r>
          </w:p>
        </w:tc>
        <w:tc>
          <w:tcPr>
            <w:tcW w:w="1230" w:type="dxa"/>
          </w:tcPr>
          <w:p w:rsidR="00363B22" w:rsidRDefault="00363B22" w:rsidP="008C095F">
            <w:pPr>
              <w:pStyle w:val="ListParagraph"/>
              <w:ind w:left="0"/>
            </w:pPr>
            <w:r>
              <w:t xml:space="preserve">    89%</w:t>
            </w:r>
          </w:p>
        </w:tc>
        <w:tc>
          <w:tcPr>
            <w:tcW w:w="1230" w:type="dxa"/>
          </w:tcPr>
          <w:p w:rsidR="00363B22" w:rsidRDefault="00363B22" w:rsidP="008C095F">
            <w:pPr>
              <w:pStyle w:val="ListParagraph"/>
              <w:ind w:left="0"/>
            </w:pPr>
            <w:r>
              <w:t xml:space="preserve">     78%</w:t>
            </w:r>
          </w:p>
        </w:tc>
      </w:tr>
      <w:tr w:rsidR="00363B22" w:rsidTr="00363B22">
        <w:tc>
          <w:tcPr>
            <w:tcW w:w="1119" w:type="dxa"/>
          </w:tcPr>
          <w:p w:rsidR="00363B22" w:rsidRDefault="00363B22" w:rsidP="008C095F">
            <w:pPr>
              <w:pStyle w:val="ListParagraph"/>
              <w:ind w:left="0"/>
            </w:pPr>
            <w:r>
              <w:t>Math 108</w:t>
            </w:r>
          </w:p>
        </w:tc>
        <w:tc>
          <w:tcPr>
            <w:tcW w:w="1031" w:type="dxa"/>
          </w:tcPr>
          <w:p w:rsidR="00363B22" w:rsidRDefault="00363B22" w:rsidP="008C095F">
            <w:pPr>
              <w:pStyle w:val="ListParagraph"/>
              <w:ind w:left="0"/>
            </w:pPr>
            <w:r>
              <w:t>103</w:t>
            </w:r>
          </w:p>
        </w:tc>
        <w:tc>
          <w:tcPr>
            <w:tcW w:w="1206" w:type="dxa"/>
          </w:tcPr>
          <w:p w:rsidR="00363B22" w:rsidRDefault="00363B22" w:rsidP="008C095F">
            <w:pPr>
              <w:pStyle w:val="ListParagraph"/>
              <w:ind w:left="0"/>
            </w:pPr>
            <w:r>
              <w:t xml:space="preserve">    73%</w:t>
            </w:r>
          </w:p>
        </w:tc>
        <w:tc>
          <w:tcPr>
            <w:tcW w:w="1206" w:type="dxa"/>
          </w:tcPr>
          <w:p w:rsidR="00363B22" w:rsidRDefault="00363B22" w:rsidP="008C095F">
            <w:pPr>
              <w:pStyle w:val="ListParagraph"/>
              <w:ind w:left="0"/>
            </w:pPr>
            <w:r>
              <w:t xml:space="preserve">    71%</w:t>
            </w:r>
          </w:p>
        </w:tc>
        <w:tc>
          <w:tcPr>
            <w:tcW w:w="388" w:type="dxa"/>
          </w:tcPr>
          <w:p w:rsidR="00363B22" w:rsidRDefault="00363B22" w:rsidP="008C095F">
            <w:pPr>
              <w:pStyle w:val="ListParagraph"/>
              <w:ind w:left="0"/>
            </w:pPr>
          </w:p>
        </w:tc>
        <w:tc>
          <w:tcPr>
            <w:tcW w:w="1518" w:type="dxa"/>
          </w:tcPr>
          <w:p w:rsidR="00363B22" w:rsidRDefault="00363B22" w:rsidP="008C095F">
            <w:pPr>
              <w:pStyle w:val="ListParagraph"/>
              <w:ind w:left="0"/>
            </w:pPr>
            <w:r>
              <w:t xml:space="preserve">     85</w:t>
            </w:r>
          </w:p>
        </w:tc>
        <w:tc>
          <w:tcPr>
            <w:tcW w:w="1230" w:type="dxa"/>
          </w:tcPr>
          <w:p w:rsidR="00363B22" w:rsidRDefault="00363B22" w:rsidP="008C095F">
            <w:pPr>
              <w:pStyle w:val="ListParagraph"/>
              <w:ind w:left="0"/>
            </w:pPr>
            <w:r>
              <w:t xml:space="preserve">    88%</w:t>
            </w:r>
          </w:p>
        </w:tc>
        <w:tc>
          <w:tcPr>
            <w:tcW w:w="1230" w:type="dxa"/>
          </w:tcPr>
          <w:p w:rsidR="00363B22" w:rsidRDefault="00363B22" w:rsidP="008C095F">
            <w:pPr>
              <w:pStyle w:val="ListParagraph"/>
              <w:ind w:left="0"/>
            </w:pPr>
            <w:r>
              <w:t xml:space="preserve">     79%</w:t>
            </w:r>
          </w:p>
        </w:tc>
      </w:tr>
      <w:tr w:rsidR="00363B22" w:rsidTr="00363B22">
        <w:tc>
          <w:tcPr>
            <w:tcW w:w="1119" w:type="dxa"/>
          </w:tcPr>
          <w:p w:rsidR="00363B22" w:rsidRDefault="00363B22" w:rsidP="008C095F">
            <w:pPr>
              <w:pStyle w:val="ListParagraph"/>
              <w:ind w:left="0"/>
            </w:pPr>
            <w:r>
              <w:t>Math 109</w:t>
            </w:r>
          </w:p>
        </w:tc>
        <w:tc>
          <w:tcPr>
            <w:tcW w:w="1031" w:type="dxa"/>
          </w:tcPr>
          <w:p w:rsidR="00363B22" w:rsidRDefault="00363B22" w:rsidP="008C095F">
            <w:pPr>
              <w:pStyle w:val="ListParagraph"/>
              <w:ind w:left="0"/>
            </w:pPr>
            <w:r>
              <w:t xml:space="preserve">  44</w:t>
            </w:r>
          </w:p>
        </w:tc>
        <w:tc>
          <w:tcPr>
            <w:tcW w:w="1206" w:type="dxa"/>
          </w:tcPr>
          <w:p w:rsidR="00363B22" w:rsidRDefault="00363B22" w:rsidP="008C095F">
            <w:pPr>
              <w:pStyle w:val="ListParagraph"/>
              <w:ind w:left="0"/>
            </w:pPr>
            <w:r>
              <w:t xml:space="preserve">    61%</w:t>
            </w:r>
          </w:p>
        </w:tc>
        <w:tc>
          <w:tcPr>
            <w:tcW w:w="1206" w:type="dxa"/>
          </w:tcPr>
          <w:p w:rsidR="00363B22" w:rsidRDefault="00363B22" w:rsidP="008C095F">
            <w:pPr>
              <w:pStyle w:val="ListParagraph"/>
              <w:ind w:left="0"/>
            </w:pPr>
            <w:r>
              <w:t xml:space="preserve">    70%</w:t>
            </w:r>
          </w:p>
        </w:tc>
        <w:tc>
          <w:tcPr>
            <w:tcW w:w="388" w:type="dxa"/>
          </w:tcPr>
          <w:p w:rsidR="00363B22" w:rsidRDefault="00363B22" w:rsidP="008C095F">
            <w:pPr>
              <w:pStyle w:val="ListParagraph"/>
              <w:ind w:left="0"/>
            </w:pPr>
          </w:p>
        </w:tc>
        <w:tc>
          <w:tcPr>
            <w:tcW w:w="1518" w:type="dxa"/>
          </w:tcPr>
          <w:p w:rsidR="00363B22" w:rsidRDefault="00363B22" w:rsidP="008C095F">
            <w:pPr>
              <w:pStyle w:val="ListParagraph"/>
              <w:ind w:left="0"/>
            </w:pPr>
            <w:r>
              <w:t xml:space="preserve">     31</w:t>
            </w:r>
          </w:p>
        </w:tc>
        <w:tc>
          <w:tcPr>
            <w:tcW w:w="1230" w:type="dxa"/>
          </w:tcPr>
          <w:p w:rsidR="00363B22" w:rsidRDefault="00363B22" w:rsidP="008C095F">
            <w:pPr>
              <w:pStyle w:val="ListParagraph"/>
              <w:ind w:left="0"/>
            </w:pPr>
            <w:r>
              <w:t xml:space="preserve">    87%</w:t>
            </w:r>
          </w:p>
        </w:tc>
        <w:tc>
          <w:tcPr>
            <w:tcW w:w="1230" w:type="dxa"/>
          </w:tcPr>
          <w:p w:rsidR="00363B22" w:rsidRDefault="00363B22" w:rsidP="008C095F">
            <w:pPr>
              <w:pStyle w:val="ListParagraph"/>
              <w:ind w:left="0"/>
            </w:pPr>
            <w:r>
              <w:t xml:space="preserve">    77%</w:t>
            </w:r>
          </w:p>
        </w:tc>
      </w:tr>
      <w:tr w:rsidR="00363B22" w:rsidTr="00363B22">
        <w:tc>
          <w:tcPr>
            <w:tcW w:w="1119" w:type="dxa"/>
          </w:tcPr>
          <w:p w:rsidR="00363B22" w:rsidRDefault="00363B22" w:rsidP="008C095F">
            <w:pPr>
              <w:pStyle w:val="ListParagraph"/>
              <w:ind w:left="0"/>
            </w:pPr>
            <w:r>
              <w:t>Math 110</w:t>
            </w:r>
          </w:p>
        </w:tc>
        <w:tc>
          <w:tcPr>
            <w:tcW w:w="1031" w:type="dxa"/>
          </w:tcPr>
          <w:p w:rsidR="00363B22" w:rsidRDefault="00363B22" w:rsidP="008C095F">
            <w:pPr>
              <w:pStyle w:val="ListParagraph"/>
              <w:ind w:left="0"/>
            </w:pPr>
            <w:r>
              <w:t>129</w:t>
            </w:r>
          </w:p>
        </w:tc>
        <w:tc>
          <w:tcPr>
            <w:tcW w:w="1206" w:type="dxa"/>
          </w:tcPr>
          <w:p w:rsidR="00363B22" w:rsidRDefault="00363B22" w:rsidP="008C095F">
            <w:pPr>
              <w:pStyle w:val="ListParagraph"/>
              <w:ind w:left="0"/>
            </w:pPr>
            <w:r>
              <w:t xml:space="preserve">    78%</w:t>
            </w:r>
          </w:p>
        </w:tc>
        <w:tc>
          <w:tcPr>
            <w:tcW w:w="1206" w:type="dxa"/>
          </w:tcPr>
          <w:p w:rsidR="00363B22" w:rsidRDefault="00363B22" w:rsidP="008C095F">
            <w:pPr>
              <w:pStyle w:val="ListParagraph"/>
              <w:ind w:left="0"/>
            </w:pPr>
            <w:r>
              <w:t xml:space="preserve">    86%</w:t>
            </w:r>
          </w:p>
        </w:tc>
        <w:tc>
          <w:tcPr>
            <w:tcW w:w="388" w:type="dxa"/>
          </w:tcPr>
          <w:p w:rsidR="00363B22" w:rsidRDefault="00363B22" w:rsidP="008C095F">
            <w:pPr>
              <w:pStyle w:val="ListParagraph"/>
              <w:ind w:left="0"/>
            </w:pPr>
          </w:p>
        </w:tc>
        <w:tc>
          <w:tcPr>
            <w:tcW w:w="1518" w:type="dxa"/>
          </w:tcPr>
          <w:p w:rsidR="00363B22" w:rsidRDefault="00363B22" w:rsidP="008C095F">
            <w:pPr>
              <w:pStyle w:val="ListParagraph"/>
              <w:ind w:left="0"/>
            </w:pPr>
            <w:r>
              <w:t xml:space="preserve">    110</w:t>
            </w:r>
          </w:p>
        </w:tc>
        <w:tc>
          <w:tcPr>
            <w:tcW w:w="1230" w:type="dxa"/>
          </w:tcPr>
          <w:p w:rsidR="00363B22" w:rsidRDefault="00363B22" w:rsidP="008C095F">
            <w:pPr>
              <w:pStyle w:val="ListParagraph"/>
              <w:ind w:left="0"/>
            </w:pPr>
            <w:r>
              <w:t xml:space="preserve">    92%</w:t>
            </w:r>
          </w:p>
        </w:tc>
        <w:tc>
          <w:tcPr>
            <w:tcW w:w="1230" w:type="dxa"/>
          </w:tcPr>
          <w:p w:rsidR="00363B22" w:rsidRDefault="00363B22" w:rsidP="008C095F">
            <w:pPr>
              <w:pStyle w:val="ListParagraph"/>
              <w:ind w:left="0"/>
            </w:pPr>
            <w:r>
              <w:t xml:space="preserve">     92%</w:t>
            </w:r>
          </w:p>
        </w:tc>
      </w:tr>
      <w:tr w:rsidR="00363B22" w:rsidTr="00363B22">
        <w:tc>
          <w:tcPr>
            <w:tcW w:w="1119" w:type="dxa"/>
          </w:tcPr>
          <w:p w:rsidR="00363B22" w:rsidRDefault="00363B22" w:rsidP="008C095F">
            <w:pPr>
              <w:pStyle w:val="ListParagraph"/>
              <w:ind w:left="0"/>
            </w:pPr>
            <w:r>
              <w:t>Math 123</w:t>
            </w:r>
          </w:p>
        </w:tc>
        <w:tc>
          <w:tcPr>
            <w:tcW w:w="1031" w:type="dxa"/>
          </w:tcPr>
          <w:p w:rsidR="00363B22" w:rsidRDefault="00363B22" w:rsidP="008C095F">
            <w:pPr>
              <w:pStyle w:val="ListParagraph"/>
              <w:ind w:left="0"/>
            </w:pPr>
            <w:r>
              <w:t xml:space="preserve">  19</w:t>
            </w:r>
          </w:p>
        </w:tc>
        <w:tc>
          <w:tcPr>
            <w:tcW w:w="1206" w:type="dxa"/>
          </w:tcPr>
          <w:p w:rsidR="00363B22" w:rsidRDefault="00363B22" w:rsidP="008C095F">
            <w:pPr>
              <w:pStyle w:val="ListParagraph"/>
              <w:ind w:left="0"/>
            </w:pPr>
            <w:r>
              <w:t xml:space="preserve">    84%</w:t>
            </w:r>
          </w:p>
        </w:tc>
        <w:tc>
          <w:tcPr>
            <w:tcW w:w="1206" w:type="dxa"/>
          </w:tcPr>
          <w:p w:rsidR="00363B22" w:rsidRDefault="00363B22" w:rsidP="008C095F">
            <w:pPr>
              <w:pStyle w:val="ListParagraph"/>
              <w:ind w:left="0"/>
            </w:pPr>
            <w:r>
              <w:t xml:space="preserve">    68%</w:t>
            </w:r>
          </w:p>
        </w:tc>
        <w:tc>
          <w:tcPr>
            <w:tcW w:w="388" w:type="dxa"/>
          </w:tcPr>
          <w:p w:rsidR="00363B22" w:rsidRDefault="00363B22" w:rsidP="008C095F">
            <w:pPr>
              <w:pStyle w:val="ListParagraph"/>
              <w:ind w:left="0"/>
            </w:pPr>
          </w:p>
        </w:tc>
        <w:tc>
          <w:tcPr>
            <w:tcW w:w="1518" w:type="dxa"/>
          </w:tcPr>
          <w:p w:rsidR="00363B22" w:rsidRDefault="00363B22" w:rsidP="008C095F">
            <w:pPr>
              <w:pStyle w:val="ListParagraph"/>
              <w:ind w:left="0"/>
            </w:pPr>
            <w:r>
              <w:t xml:space="preserve">     17</w:t>
            </w:r>
          </w:p>
        </w:tc>
        <w:tc>
          <w:tcPr>
            <w:tcW w:w="1230" w:type="dxa"/>
          </w:tcPr>
          <w:p w:rsidR="00363B22" w:rsidRDefault="00363B22" w:rsidP="008C095F">
            <w:pPr>
              <w:pStyle w:val="ListParagraph"/>
              <w:ind w:left="0"/>
            </w:pPr>
            <w:r>
              <w:t xml:space="preserve">    94%</w:t>
            </w:r>
          </w:p>
        </w:tc>
        <w:tc>
          <w:tcPr>
            <w:tcW w:w="1230" w:type="dxa"/>
          </w:tcPr>
          <w:p w:rsidR="00363B22" w:rsidRDefault="00363B22" w:rsidP="008C095F">
            <w:pPr>
              <w:pStyle w:val="ListParagraph"/>
              <w:ind w:left="0"/>
            </w:pPr>
            <w:r>
              <w:t xml:space="preserve">     82%</w:t>
            </w:r>
          </w:p>
        </w:tc>
      </w:tr>
    </w:tbl>
    <w:p w:rsidR="008C095F" w:rsidRDefault="008C095F" w:rsidP="008C095F">
      <w:pPr>
        <w:pStyle w:val="ListParagraph"/>
        <w:ind w:left="1080"/>
      </w:pPr>
    </w:p>
    <w:p w:rsidR="00664B00" w:rsidRPr="00BC3FF9" w:rsidRDefault="00664B00" w:rsidP="00664B00">
      <w:pPr>
        <w:ind w:left="1080"/>
        <w:rPr>
          <w:rFonts w:cstheme="minorHAnsi"/>
          <w:color w:val="000000"/>
        </w:rPr>
      </w:pPr>
      <w:r w:rsidRPr="00BC3FF9">
        <w:rPr>
          <w:rFonts w:cstheme="minorHAnsi"/>
          <w:color w:val="000000"/>
        </w:rPr>
        <w:t>* Pass rates are based on a grade of D or better.  For many student</w:t>
      </w:r>
      <w:r w:rsidR="00157661" w:rsidRPr="00BC3FF9">
        <w:rPr>
          <w:rFonts w:cstheme="minorHAnsi"/>
          <w:color w:val="000000"/>
        </w:rPr>
        <w:t>s</w:t>
      </w:r>
      <w:r w:rsidRPr="00BC3FF9">
        <w:rPr>
          <w:rFonts w:cstheme="minorHAnsi"/>
          <w:color w:val="000000"/>
        </w:rPr>
        <w:t xml:space="preserve"> the requirements of their majors</w:t>
      </w:r>
      <w:r w:rsidR="00363B22">
        <w:rPr>
          <w:rFonts w:cstheme="minorHAnsi"/>
          <w:color w:val="000000"/>
        </w:rPr>
        <w:t xml:space="preserve"> state that they are required to earn</w:t>
      </w:r>
      <w:r w:rsidRPr="00BC3FF9">
        <w:rPr>
          <w:rFonts w:cstheme="minorHAnsi"/>
          <w:color w:val="000000"/>
        </w:rPr>
        <w:t xml:space="preserve"> </w:t>
      </w:r>
      <w:r w:rsidR="00363B22">
        <w:rPr>
          <w:rFonts w:cstheme="minorHAnsi"/>
          <w:color w:val="000000"/>
        </w:rPr>
        <w:t>a minimum grade of C</w:t>
      </w:r>
      <w:r w:rsidRPr="00BC3FF9">
        <w:rPr>
          <w:rFonts w:cstheme="minorHAnsi"/>
          <w:color w:val="000000"/>
        </w:rPr>
        <w:t>.</w:t>
      </w:r>
      <w:r w:rsidR="00363B22">
        <w:rPr>
          <w:rFonts w:cstheme="minorHAnsi"/>
          <w:color w:val="000000"/>
        </w:rPr>
        <w:t xml:space="preserve">  Therefore, the number of students repeating certain courses is higher than the pass rate above indicates.</w:t>
      </w:r>
      <w:r w:rsidRPr="00BC3FF9">
        <w:rPr>
          <w:rFonts w:cstheme="minorHAnsi"/>
          <w:color w:val="000000"/>
        </w:rPr>
        <w:t xml:space="preserve">  Please see below in the narratives of each class for a full grade distribution break out.</w:t>
      </w:r>
    </w:p>
    <w:p w:rsidR="0065190E" w:rsidRDefault="0065190E" w:rsidP="00EC3795"/>
    <w:p w:rsidR="00F015D4" w:rsidRDefault="00F015D4" w:rsidP="00EC3795"/>
    <w:p w:rsidR="0065190E" w:rsidRPr="00BC3FF9" w:rsidRDefault="0065190E" w:rsidP="0065190E">
      <w:pPr>
        <w:pStyle w:val="ListParagraph"/>
        <w:numPr>
          <w:ilvl w:val="0"/>
          <w:numId w:val="1"/>
        </w:numPr>
        <w:rPr>
          <w:b/>
        </w:rPr>
      </w:pPr>
      <w:r w:rsidRPr="00BC3FF9">
        <w:rPr>
          <w:b/>
        </w:rPr>
        <w:lastRenderedPageBreak/>
        <w:t xml:space="preserve"> Report on Spring 2013 Semester Outcomes</w:t>
      </w:r>
    </w:p>
    <w:p w:rsidR="009121EE" w:rsidRDefault="00F015D4" w:rsidP="009121EE">
      <w:r>
        <w:rPr>
          <w:noProof/>
        </w:rPr>
        <w:drawing>
          <wp:anchor distT="0" distB="0" distL="114300" distR="114300" simplePos="0" relativeHeight="251658240" behindDoc="0" locked="0" layoutInCell="1" allowOverlap="1">
            <wp:simplePos x="0" y="0"/>
            <wp:positionH relativeFrom="margin">
              <wp:posOffset>3110865</wp:posOffset>
            </wp:positionH>
            <wp:positionV relativeFrom="margin">
              <wp:posOffset>612775</wp:posOffset>
            </wp:positionV>
            <wp:extent cx="3821430" cy="329755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5190E" w:rsidRPr="009121EE" w:rsidRDefault="0065190E" w:rsidP="009A524D">
      <w:pPr>
        <w:ind w:left="720"/>
        <w:rPr>
          <w:b/>
        </w:rPr>
      </w:pPr>
      <w:r w:rsidRPr="009121EE">
        <w:rPr>
          <w:b/>
        </w:rPr>
        <w:t>Math 101S</w:t>
      </w:r>
      <w:r w:rsidR="00FB7067">
        <w:rPr>
          <w:b/>
        </w:rPr>
        <w:t xml:space="preserve"> - </w:t>
      </w:r>
      <w:r w:rsidR="00FB7067" w:rsidRPr="009121EE">
        <w:rPr>
          <w:b/>
        </w:rPr>
        <w:t>Introductory</w:t>
      </w:r>
      <w:r w:rsidRPr="009121EE">
        <w:rPr>
          <w:b/>
        </w:rPr>
        <w:t xml:space="preserve"> Algebra</w:t>
      </w:r>
    </w:p>
    <w:p w:rsidR="000E4F9F" w:rsidRPr="000E4F9F" w:rsidRDefault="000E4F9F" w:rsidP="000E4F9F">
      <w:pPr>
        <w:ind w:left="720" w:firstLine="720"/>
        <w:rPr>
          <w:b/>
          <w:i/>
        </w:rPr>
      </w:pPr>
      <w:r w:rsidRPr="000E4F9F">
        <w:rPr>
          <w:b/>
          <w:i/>
        </w:rPr>
        <w:t>Grade Distribution</w:t>
      </w:r>
    </w:p>
    <w:p w:rsidR="0065190E" w:rsidRDefault="0065190E" w:rsidP="000E4F9F">
      <w:r>
        <w:t xml:space="preserve">The </w:t>
      </w:r>
      <w:r w:rsidR="008E0C3F">
        <w:t>pie chart</w:t>
      </w:r>
      <w:r>
        <w:t xml:space="preserve"> to the right reflects the grade distribution of the Math 101S classes.  A mastery grading system is used; hence</w:t>
      </w:r>
      <w:r w:rsidR="00363B22">
        <w:t>,</w:t>
      </w:r>
      <w:r>
        <w:t xml:space="preserve"> there are no passing grades lower than</w:t>
      </w:r>
      <w:r w:rsidR="00363B22">
        <w:t xml:space="preserve"> a C</w:t>
      </w:r>
      <w:r>
        <w:t xml:space="preserve"> </w:t>
      </w:r>
      <w:r w:rsidR="00363B22">
        <w:t>recorded.  In order to pass,</w:t>
      </w:r>
      <w:r>
        <w:t xml:space="preserve"> students are required to earn at least a minimum grade of 72%.</w:t>
      </w:r>
    </w:p>
    <w:p w:rsidR="009A524D" w:rsidRDefault="009A524D" w:rsidP="000E4F9F">
      <w:r>
        <w:t>A continued troubling factor is the significant number of students that withdraw from the course.  More students withdraw (16%) from the course than actually fail (9%) the course.  More troubling is that the</w:t>
      </w:r>
      <w:r w:rsidR="00D420D9">
        <w:t xml:space="preserve"> percentage</w:t>
      </w:r>
      <w:r w:rsidR="00157661">
        <w:t xml:space="preserve"> of students that quit or</w:t>
      </w:r>
      <w:r>
        <w:t xml:space="preserve"> abandon (grade of FQ on th</w:t>
      </w:r>
      <w:r w:rsidR="00D420D9">
        <w:t>e chart) is more than the percentage</w:t>
      </w:r>
      <w:r>
        <w:t xml:space="preserve"> of students that withdraw (W) or fail (F), combined.  28% of students quit attending without formally withdrawing.</w:t>
      </w:r>
    </w:p>
    <w:p w:rsidR="009A524D" w:rsidRDefault="009A524D" w:rsidP="000E4F9F">
      <w:r>
        <w:t>No formal explanation</w:t>
      </w:r>
      <w:r w:rsidR="00733C12">
        <w:t>s</w:t>
      </w:r>
      <w:r w:rsidR="00FB7067">
        <w:t xml:space="preserve"> are given or recorded about why students’ quit</w:t>
      </w:r>
      <w:r>
        <w:t>, although this could be attributed to that fact that so many students are repeaters during the spring semester.</w:t>
      </w:r>
    </w:p>
    <w:p w:rsidR="009A524D" w:rsidRDefault="009A524D" w:rsidP="000E4F9F">
      <w:pPr>
        <w:rPr>
          <w:noProof/>
        </w:rPr>
      </w:pPr>
      <w:r>
        <w:t xml:space="preserve">Repeaters are those students taking the class for the second or third time and </w:t>
      </w:r>
      <w:r w:rsidR="00617CFC">
        <w:t>compromise 60</w:t>
      </w:r>
      <w:r>
        <w:t>% of the total number of students taking Math 101S</w:t>
      </w:r>
      <w:r w:rsidR="00617CFC">
        <w:t>.  This is down a full 20% from last spring as more students are passing this course in their first attempt during the fall semester.</w:t>
      </w:r>
      <w:r w:rsidR="00617CFC" w:rsidRPr="00617CFC">
        <w:rPr>
          <w:noProof/>
        </w:rPr>
        <w:t xml:space="preserve"> </w:t>
      </w:r>
    </w:p>
    <w:p w:rsidR="00F015D4" w:rsidRDefault="00F015D4" w:rsidP="000E4F9F">
      <w:pPr>
        <w:rPr>
          <w:noProof/>
        </w:rPr>
      </w:pPr>
      <w:r>
        <w:rPr>
          <w:noProof/>
        </w:rPr>
        <w:drawing>
          <wp:anchor distT="0" distB="0" distL="114300" distR="114300" simplePos="0" relativeHeight="251659264" behindDoc="0" locked="0" layoutInCell="1" allowOverlap="1">
            <wp:simplePos x="0" y="0"/>
            <wp:positionH relativeFrom="margin">
              <wp:posOffset>3110865</wp:posOffset>
            </wp:positionH>
            <wp:positionV relativeFrom="margin">
              <wp:posOffset>5791200</wp:posOffset>
            </wp:positionV>
            <wp:extent cx="3626485" cy="27432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E4F9F" w:rsidRDefault="000E4F9F" w:rsidP="000E4F9F">
      <w:pPr>
        <w:ind w:left="720" w:firstLine="720"/>
        <w:rPr>
          <w:b/>
          <w:i/>
        </w:rPr>
      </w:pPr>
      <w:r>
        <w:rPr>
          <w:b/>
          <w:i/>
        </w:rPr>
        <w:t>Retention</w:t>
      </w:r>
    </w:p>
    <w:p w:rsidR="000E4F9F" w:rsidRDefault="000E4F9F" w:rsidP="000E4F9F">
      <w:r>
        <w:t>Retention for all students that registered for Math 10</w:t>
      </w:r>
      <w:r w:rsidR="00FB7067">
        <w:t>1S is</w:t>
      </w:r>
      <w:r w:rsidR="00157661">
        <w:t xml:space="preserve"> 50% and for those students that</w:t>
      </w:r>
      <w:r>
        <w:t xml:space="preserve"> complete the course, the rate is 75%.  Both results are the lowest of all the 100 –level math classes</w:t>
      </w:r>
      <w:r w:rsidR="00157661">
        <w:t>.  A fact that is not surprising as students that have already invested 30-45 credits are more likely to be retained than those that may be just testing the waters of academic life.</w:t>
      </w:r>
    </w:p>
    <w:p w:rsidR="00157661" w:rsidRDefault="00157661" w:rsidP="000E4F9F"/>
    <w:p w:rsidR="00BC3FF9" w:rsidRDefault="00BC3FF9" w:rsidP="000E4F9F"/>
    <w:p w:rsidR="0065190E" w:rsidRDefault="00F015D4" w:rsidP="00EC3795">
      <w:r>
        <w:rPr>
          <w:noProof/>
        </w:rPr>
        <w:lastRenderedPageBreak/>
        <w:drawing>
          <wp:anchor distT="0" distB="0" distL="114300" distR="114300" simplePos="0" relativeHeight="251660288" behindDoc="0" locked="0" layoutInCell="1" allowOverlap="1">
            <wp:simplePos x="0" y="0"/>
            <wp:positionH relativeFrom="margin">
              <wp:posOffset>3110865</wp:posOffset>
            </wp:positionH>
            <wp:positionV relativeFrom="margin">
              <wp:posOffset>222885</wp:posOffset>
            </wp:positionV>
            <wp:extent cx="3533775" cy="3102610"/>
            <wp:effectExtent l="0" t="0" r="0" b="0"/>
            <wp:wrapSquare wrapText="bothSides"/>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121EE" w:rsidRDefault="009121EE" w:rsidP="00664B00">
      <w:pPr>
        <w:ind w:left="720"/>
        <w:rPr>
          <w:b/>
        </w:rPr>
      </w:pPr>
      <w:r w:rsidRPr="009121EE">
        <w:rPr>
          <w:b/>
        </w:rPr>
        <w:t xml:space="preserve">Math </w:t>
      </w:r>
      <w:r>
        <w:rPr>
          <w:b/>
        </w:rPr>
        <w:t xml:space="preserve">102 </w:t>
      </w:r>
      <w:r w:rsidR="00FB7067">
        <w:rPr>
          <w:b/>
        </w:rPr>
        <w:t xml:space="preserve">- </w:t>
      </w:r>
      <w:r>
        <w:rPr>
          <w:b/>
        </w:rPr>
        <w:t>Intermediate</w:t>
      </w:r>
      <w:r w:rsidRPr="009121EE">
        <w:rPr>
          <w:b/>
        </w:rPr>
        <w:t xml:space="preserve"> Algebra</w:t>
      </w:r>
    </w:p>
    <w:p w:rsidR="000E4F9F" w:rsidRPr="000E4F9F" w:rsidRDefault="000E4F9F" w:rsidP="000E4F9F">
      <w:pPr>
        <w:ind w:left="720" w:firstLine="720"/>
        <w:rPr>
          <w:b/>
          <w:i/>
        </w:rPr>
      </w:pPr>
      <w:r w:rsidRPr="000E4F9F">
        <w:rPr>
          <w:b/>
          <w:i/>
        </w:rPr>
        <w:t>Grade Distribution</w:t>
      </w:r>
    </w:p>
    <w:p w:rsidR="00BC3FF9" w:rsidRDefault="00733C12" w:rsidP="00EC3795">
      <w:r>
        <w:t>The pie chart to the right reflects the grade distribution of Math 102.  Overall, of the students that stayed in the course the entire semester and took the final exam, 89% successfully passed the course.  This continues to be a very high achieving class (all students enrolled had previously expressed an interest in majoring in a math or science field).  All students placed into the class with the proper prerequisites.</w:t>
      </w:r>
    </w:p>
    <w:p w:rsidR="00F015D4" w:rsidRDefault="00F015D4" w:rsidP="00EC3795"/>
    <w:p w:rsidR="000E4F9F" w:rsidRDefault="000E4F9F" w:rsidP="000E4F9F">
      <w:pPr>
        <w:ind w:left="720" w:firstLine="720"/>
        <w:rPr>
          <w:b/>
          <w:i/>
        </w:rPr>
      </w:pPr>
      <w:r>
        <w:rPr>
          <w:b/>
          <w:i/>
        </w:rPr>
        <w:t>Retention</w:t>
      </w:r>
    </w:p>
    <w:p w:rsidR="000E4F9F" w:rsidRDefault="000E4F9F" w:rsidP="000E4F9F">
      <w:r>
        <w:t>Retention for all students that regi</w:t>
      </w:r>
      <w:r w:rsidR="00FB7067">
        <w:t>stered for Math 102 is</w:t>
      </w:r>
      <w:r>
        <w:t xml:space="preserve"> 77% and for</w:t>
      </w:r>
      <w:r w:rsidR="00157661">
        <w:t xml:space="preserve"> those students</w:t>
      </w:r>
      <w:r>
        <w:t xml:space="preserve"> that complete the course, the rate is a</w:t>
      </w:r>
      <w:r w:rsidR="00D420D9">
        <w:t xml:space="preserve"> slight increase to78%.  T</w:t>
      </w:r>
      <w:r w:rsidR="00FB7067">
        <w:t>he number</w:t>
      </w:r>
      <w:r>
        <w:t xml:space="preserve"> of students enrolled in this clas</w:t>
      </w:r>
      <w:r w:rsidR="00D420D9">
        <w:t>s is low (22), thus the sample size is small.  There, the retention rate is extremely sensitive to even a few students not returning.</w:t>
      </w:r>
    </w:p>
    <w:p w:rsidR="00F015D4" w:rsidRDefault="00F015D4" w:rsidP="00EC3795">
      <w:pPr>
        <w:rPr>
          <w:b/>
        </w:rPr>
      </w:pPr>
    </w:p>
    <w:p w:rsidR="00733C12" w:rsidRDefault="00741F7E" w:rsidP="00EC3795">
      <w:pPr>
        <w:rPr>
          <w:b/>
        </w:rPr>
      </w:pPr>
      <w:r>
        <w:rPr>
          <w:b/>
          <w:noProof/>
        </w:rPr>
        <w:drawing>
          <wp:anchor distT="0" distB="0" distL="114300" distR="114300" simplePos="0" relativeHeight="251663360" behindDoc="0" locked="0" layoutInCell="1" allowOverlap="1">
            <wp:simplePos x="0" y="0"/>
            <wp:positionH relativeFrom="margin">
              <wp:posOffset>3408680</wp:posOffset>
            </wp:positionH>
            <wp:positionV relativeFrom="margin">
              <wp:posOffset>4640580</wp:posOffset>
            </wp:positionV>
            <wp:extent cx="3164205" cy="3030855"/>
            <wp:effectExtent l="0" t="0" r="0" b="0"/>
            <wp:wrapSquare wrapText="bothSides"/>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664B00" w:rsidRDefault="00733C12" w:rsidP="00664B00">
      <w:pPr>
        <w:ind w:left="720"/>
        <w:rPr>
          <w:noProof/>
        </w:rPr>
      </w:pPr>
      <w:r>
        <w:rPr>
          <w:b/>
        </w:rPr>
        <w:t xml:space="preserve">Math 108 </w:t>
      </w:r>
      <w:r w:rsidR="00741F7E">
        <w:rPr>
          <w:b/>
        </w:rPr>
        <w:t xml:space="preserve">- </w:t>
      </w:r>
      <w:r>
        <w:rPr>
          <w:b/>
        </w:rPr>
        <w:t>Finite Mathematics</w:t>
      </w:r>
      <w:r w:rsidR="00F10103" w:rsidRPr="00F10103">
        <w:rPr>
          <w:noProof/>
        </w:rPr>
        <w:t xml:space="preserve"> </w:t>
      </w:r>
    </w:p>
    <w:p w:rsidR="000E4F9F" w:rsidRPr="000E4F9F" w:rsidRDefault="000E4F9F" w:rsidP="000E4F9F">
      <w:pPr>
        <w:ind w:left="720" w:firstLine="720"/>
        <w:rPr>
          <w:b/>
          <w:i/>
        </w:rPr>
      </w:pPr>
      <w:r w:rsidRPr="000E4F9F">
        <w:rPr>
          <w:b/>
          <w:i/>
        </w:rPr>
        <w:t>Grade Distribution</w:t>
      </w:r>
    </w:p>
    <w:p w:rsidR="00733C12" w:rsidRDefault="00F10103" w:rsidP="00EC3795">
      <w:r>
        <w:t>The pie chart to the right reflects the grade distribution for Math 108.</w:t>
      </w:r>
    </w:p>
    <w:p w:rsidR="00AB0056" w:rsidRDefault="00741F7E" w:rsidP="00EC3795">
      <w:r>
        <w:t>Of the s</w:t>
      </w:r>
      <w:r w:rsidR="00AB0056">
        <w:t>tudents that were persistent and completed the course, 88% passed.</w:t>
      </w:r>
    </w:p>
    <w:p w:rsidR="00AB0056" w:rsidRDefault="00AB0056" w:rsidP="00EC3795">
      <w:r>
        <w:t>It s</w:t>
      </w:r>
      <w:r w:rsidR="00741F7E">
        <w:t>hould be noted that many of th</w:t>
      </w:r>
      <w:r>
        <w:t>e stu</w:t>
      </w:r>
      <w:r w:rsidR="00741F7E">
        <w:t>dents that received a grade of D</w:t>
      </w:r>
      <w:r>
        <w:t xml:space="preserve"> (11%) would still have to repeat the course, even though t</w:t>
      </w:r>
      <w:r w:rsidR="00741F7E">
        <w:t>hey received a passing grade, because most majors require a C or</w:t>
      </w:r>
      <w:r w:rsidR="00E13501">
        <w:t xml:space="preserve"> better in a core requirement.</w:t>
      </w:r>
    </w:p>
    <w:p w:rsidR="00F015D4" w:rsidRDefault="00AB0056" w:rsidP="00EC3795">
      <w:r>
        <w:t>This is the newest of the math courses offered and was written primarily to serve those students majoring in the life and social sciences.  Further tweaking of the course is ongoing</w:t>
      </w:r>
      <w:r w:rsidR="00F17420">
        <w:t xml:space="preserve"> as more data is received from students that have</w:t>
      </w:r>
      <w:r w:rsidR="00741F7E">
        <w:t xml:space="preserve"> taken the PRAXIS and TEAS exams</w:t>
      </w:r>
      <w:r w:rsidR="00F17420">
        <w:t xml:space="preserve"> along with other “new” programs that the University is bring</w:t>
      </w:r>
      <w:r w:rsidR="00E13501">
        <w:t>ing</w:t>
      </w:r>
      <w:r w:rsidR="00F17420">
        <w:t xml:space="preserve"> in.</w:t>
      </w:r>
      <w:r w:rsidR="00741F7E">
        <w:t xml:space="preserve">  Current trends in Math 110 (</w:t>
      </w:r>
      <w:r w:rsidR="00F17420">
        <w:t xml:space="preserve">which </w:t>
      </w:r>
      <w:r w:rsidR="00741F7E">
        <w:t xml:space="preserve">this course is </w:t>
      </w:r>
      <w:r w:rsidR="00741F7E">
        <w:lastRenderedPageBreak/>
        <w:t>a prerequisite for</w:t>
      </w:r>
      <w:r w:rsidR="00F17420">
        <w:t xml:space="preserve">) have already shown that introductory topics in statistics and probability </w:t>
      </w:r>
      <w:r w:rsidR="00E13501">
        <w:t xml:space="preserve">may </w:t>
      </w:r>
      <w:r w:rsidR="00F17420">
        <w:t>need to be worked into the curriculum</w:t>
      </w:r>
      <w:r w:rsidR="00C31EED">
        <w:t>.</w:t>
      </w:r>
    </w:p>
    <w:p w:rsidR="00C31EED" w:rsidRDefault="00C31EED" w:rsidP="00EC3795"/>
    <w:p w:rsidR="00EC3795" w:rsidRDefault="00EC3795" w:rsidP="00EC3795">
      <w:pPr>
        <w:ind w:left="720" w:firstLine="720"/>
        <w:rPr>
          <w:b/>
          <w:i/>
        </w:rPr>
      </w:pPr>
      <w:r>
        <w:rPr>
          <w:b/>
          <w:i/>
        </w:rPr>
        <w:t>Retention</w:t>
      </w:r>
    </w:p>
    <w:p w:rsidR="00EC3795" w:rsidRDefault="00EC3795" w:rsidP="00EC3795">
      <w:r>
        <w:t>The retention rate for all students that registered for Math 108</w:t>
      </w:r>
      <w:r w:rsidR="00E13501">
        <w:t xml:space="preserve"> is 71% and that figure</w:t>
      </w:r>
      <w:r>
        <w:t xml:space="preserve"> increases to 78% for those students that complete the course.  Students at this point of their math sequence </w:t>
      </w:r>
      <w:r w:rsidR="00D420D9">
        <w:t>should be retained at a</w:t>
      </w:r>
      <w:r w:rsidR="00741F7E">
        <w:t xml:space="preserve"> rate</w:t>
      </w:r>
      <w:r w:rsidR="00D420D9">
        <w:t xml:space="preserve"> closer to the </w:t>
      </w:r>
      <w:r w:rsidR="00741F7E">
        <w:t xml:space="preserve">passing </w:t>
      </w:r>
      <w:r w:rsidR="00D420D9">
        <w:t xml:space="preserve">rate of those students that completed </w:t>
      </w:r>
      <w:r w:rsidR="00741F7E">
        <w:t xml:space="preserve">the course (85%). </w:t>
      </w:r>
    </w:p>
    <w:p w:rsidR="00741F7E" w:rsidRDefault="00741F7E" w:rsidP="00741F7E"/>
    <w:p w:rsidR="00C31EED" w:rsidRDefault="00C31EED" w:rsidP="00741F7E"/>
    <w:p w:rsidR="00F17420" w:rsidRPr="00E97568" w:rsidRDefault="00C31EED" w:rsidP="00741F7E">
      <w:pPr>
        <w:ind w:firstLine="720"/>
      </w:pPr>
      <w:r>
        <w:rPr>
          <w:b/>
          <w:noProof/>
        </w:rPr>
        <w:drawing>
          <wp:anchor distT="0" distB="0" distL="114300" distR="114300" simplePos="0" relativeHeight="251668480" behindDoc="0" locked="0" layoutInCell="1" allowOverlap="1">
            <wp:simplePos x="0" y="0"/>
            <wp:positionH relativeFrom="margin">
              <wp:posOffset>3326765</wp:posOffset>
            </wp:positionH>
            <wp:positionV relativeFrom="margin">
              <wp:posOffset>2554605</wp:posOffset>
            </wp:positionV>
            <wp:extent cx="3585210" cy="2866390"/>
            <wp:effectExtent l="0" t="0" r="0" b="0"/>
            <wp:wrapSquare wrapText="bothSides"/>
            <wp:docPr id="16"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17420">
        <w:rPr>
          <w:b/>
        </w:rPr>
        <w:t>Math 109</w:t>
      </w:r>
      <w:r w:rsidR="00741F7E">
        <w:rPr>
          <w:b/>
        </w:rPr>
        <w:t xml:space="preserve"> -</w:t>
      </w:r>
      <w:r w:rsidR="00F17420">
        <w:rPr>
          <w:b/>
        </w:rPr>
        <w:t xml:space="preserve"> Foundations of Mathematics</w:t>
      </w:r>
      <w:r w:rsidR="00F17420" w:rsidRPr="00F10103">
        <w:rPr>
          <w:noProof/>
        </w:rPr>
        <w:t xml:space="preserve"> </w:t>
      </w:r>
    </w:p>
    <w:p w:rsidR="00F17420" w:rsidRDefault="000E4F9F" w:rsidP="000E4F9F">
      <w:pPr>
        <w:ind w:left="720" w:firstLine="720"/>
        <w:rPr>
          <w:b/>
          <w:i/>
        </w:rPr>
      </w:pPr>
      <w:r w:rsidRPr="000E4F9F">
        <w:rPr>
          <w:b/>
          <w:i/>
        </w:rPr>
        <w:t>Grade Distribution</w:t>
      </w:r>
    </w:p>
    <w:p w:rsidR="00E97568" w:rsidRDefault="00E97568" w:rsidP="00E97568">
      <w:r w:rsidRPr="00E97568">
        <w:t>The pie chart to the right displays the grade distribution of all the students that register</w:t>
      </w:r>
      <w:r w:rsidR="00741F7E">
        <w:t xml:space="preserve">ed to Math 109. </w:t>
      </w:r>
      <w:r w:rsidRPr="00E97568">
        <w:t xml:space="preserve">  Again, a disturbing trend that appears in this data is that the number of students who withdrew or quit</w:t>
      </w:r>
      <w:r w:rsidR="00741F7E">
        <w:t xml:space="preserve"> (</w:t>
      </w:r>
      <w:r w:rsidRPr="00E97568">
        <w:t>29%</w:t>
      </w:r>
      <w:r w:rsidR="00741F7E">
        <w:t>)</w:t>
      </w:r>
      <w:r w:rsidRPr="00E97568">
        <w:t xml:space="preserve">,  is almost 3 times bigger than the number of students who attempted to complete the course requirements and failed (9%.)  From the students that persisted and took the final 87% passed the course. This number is an improvement on the </w:t>
      </w:r>
      <w:proofErr w:type="gramStart"/>
      <w:r w:rsidRPr="00E97568">
        <w:t>Fall</w:t>
      </w:r>
      <w:proofErr w:type="gramEnd"/>
      <w:r w:rsidRPr="00E97568">
        <w:t xml:space="preserve"> 2012 </w:t>
      </w:r>
      <w:r w:rsidR="00741F7E">
        <w:t>semester in which</w:t>
      </w:r>
      <w:r w:rsidRPr="00E97568">
        <w:t xml:space="preserve"> 83% of the students who </w:t>
      </w:r>
      <w:r w:rsidR="003F7E40" w:rsidRPr="00E97568">
        <w:t>persisted passed</w:t>
      </w:r>
      <w:r w:rsidRPr="00E97568">
        <w:t xml:space="preserve"> the course. The fact that there are twice as many D grades t</w:t>
      </w:r>
      <w:r w:rsidR="00741F7E">
        <w:t xml:space="preserve">han C grades reflects a </w:t>
      </w:r>
      <w:r w:rsidR="00F015D4">
        <w:t>grade distribution that</w:t>
      </w:r>
      <w:r w:rsidR="00741F7E">
        <w:t xml:space="preserve"> is not acceptable</w:t>
      </w:r>
      <w:r w:rsidRPr="00E97568">
        <w:t>.</w:t>
      </w:r>
    </w:p>
    <w:p w:rsidR="00F015D4" w:rsidRPr="00E97568" w:rsidRDefault="00F015D4" w:rsidP="00E97568"/>
    <w:p w:rsidR="00EC3795" w:rsidRDefault="00EC3795" w:rsidP="00741F7E">
      <w:pPr>
        <w:ind w:firstLine="720"/>
        <w:rPr>
          <w:b/>
          <w:i/>
        </w:rPr>
      </w:pPr>
      <w:r>
        <w:rPr>
          <w:b/>
          <w:i/>
        </w:rPr>
        <w:t>Retention</w:t>
      </w:r>
    </w:p>
    <w:p w:rsidR="00AF3AC7" w:rsidRPr="00AF3AC7" w:rsidRDefault="00AF3AC7" w:rsidP="00AF3AC7">
      <w:r w:rsidRPr="00AF3AC7">
        <w:t xml:space="preserve">The retention rate for </w:t>
      </w:r>
      <w:r w:rsidR="002A63B7">
        <w:t>Math 109 spring 2013</w:t>
      </w:r>
      <w:r w:rsidR="00741F7E">
        <w:t xml:space="preserve"> is</w:t>
      </w:r>
      <w:r w:rsidRPr="00AF3AC7">
        <w:t xml:space="preserve"> 70%. This number is lower than the 75% retention rate that we had in the 2012 </w:t>
      </w:r>
      <w:proofErr w:type="gramStart"/>
      <w:r w:rsidRPr="00AF3AC7">
        <w:t>Fall</w:t>
      </w:r>
      <w:proofErr w:type="gramEnd"/>
      <w:r w:rsidRPr="00AF3AC7">
        <w:t xml:space="preserve"> semester. While the number of students that withdrew in the 2012 Fall semester is </w:t>
      </w:r>
      <w:r w:rsidR="00C00400">
        <w:t>19%, which is twice as large as the number of students</w:t>
      </w:r>
      <w:r w:rsidRPr="00AF3AC7">
        <w:t xml:space="preserve"> who withdrew in the 2013 Spring semester (9%)</w:t>
      </w:r>
      <w:proofErr w:type="gramStart"/>
      <w:r w:rsidR="00C00400">
        <w:t xml:space="preserve">, </w:t>
      </w:r>
      <w:r w:rsidRPr="00AF3AC7">
        <w:t xml:space="preserve"> the</w:t>
      </w:r>
      <w:proofErr w:type="gramEnd"/>
      <w:r w:rsidRPr="00AF3AC7">
        <w:t xml:space="preserve"> number of those who quit in the spring was almost twice as big.</w:t>
      </w:r>
      <w:r w:rsidRPr="00AF3AC7">
        <w:rPr>
          <w:noProof/>
        </w:rPr>
        <w:t xml:space="preserve"> </w:t>
      </w:r>
      <w:r w:rsidRPr="00AF3AC7">
        <w:t>20% of the students quit attending without withdrawing</w:t>
      </w:r>
      <w:r w:rsidR="00C00400">
        <w:t>;</w:t>
      </w:r>
      <w:r w:rsidRPr="00AF3AC7">
        <w:t xml:space="preserve"> ways to reduce this num</w:t>
      </w:r>
      <w:r w:rsidR="00C00400">
        <w:t>ber must be discovered</w:t>
      </w:r>
      <w:r w:rsidRPr="00AF3AC7">
        <w:t xml:space="preserve">.  </w:t>
      </w:r>
    </w:p>
    <w:p w:rsidR="008F1D00" w:rsidRDefault="008F1D00" w:rsidP="00EC3795"/>
    <w:p w:rsidR="00F015D4" w:rsidRDefault="00F015D4" w:rsidP="00EC3795"/>
    <w:p w:rsidR="00F015D4" w:rsidRDefault="00F015D4" w:rsidP="00EC3795"/>
    <w:p w:rsidR="00F015D4" w:rsidRDefault="00F015D4" w:rsidP="00EC3795"/>
    <w:p w:rsidR="00F015D4" w:rsidRDefault="00F015D4" w:rsidP="00EC3795"/>
    <w:p w:rsidR="00733C12" w:rsidRDefault="00C31EED" w:rsidP="00C00400">
      <w:pPr>
        <w:ind w:firstLine="720"/>
        <w:rPr>
          <w:b/>
        </w:rPr>
      </w:pPr>
      <w:r>
        <w:rPr>
          <w:b/>
          <w:noProof/>
        </w:rPr>
        <w:drawing>
          <wp:anchor distT="0" distB="0" distL="114300" distR="114300" simplePos="0" relativeHeight="251670528" behindDoc="0" locked="0" layoutInCell="1" allowOverlap="1">
            <wp:simplePos x="0" y="0"/>
            <wp:positionH relativeFrom="margin">
              <wp:posOffset>2915285</wp:posOffset>
            </wp:positionH>
            <wp:positionV relativeFrom="margin">
              <wp:posOffset>561975</wp:posOffset>
            </wp:positionV>
            <wp:extent cx="4058285" cy="3277235"/>
            <wp:effectExtent l="0" t="0" r="0" b="0"/>
            <wp:wrapSquare wrapText="bothSides"/>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17420">
        <w:rPr>
          <w:b/>
        </w:rPr>
        <w:t>Math 110</w:t>
      </w:r>
      <w:r w:rsidR="00C00400">
        <w:rPr>
          <w:b/>
        </w:rPr>
        <w:t xml:space="preserve"> -</w:t>
      </w:r>
      <w:r w:rsidR="00F17420">
        <w:rPr>
          <w:b/>
        </w:rPr>
        <w:t xml:space="preserve"> Introductory Statistics</w:t>
      </w:r>
    </w:p>
    <w:p w:rsidR="00C31EED" w:rsidRDefault="00C31EED" w:rsidP="00C00400">
      <w:pPr>
        <w:ind w:firstLine="720"/>
        <w:rPr>
          <w:b/>
        </w:rPr>
      </w:pPr>
    </w:p>
    <w:p w:rsidR="000E4F9F" w:rsidRDefault="000E4F9F" w:rsidP="000E4F9F">
      <w:pPr>
        <w:ind w:left="720" w:firstLine="720"/>
        <w:rPr>
          <w:b/>
          <w:i/>
        </w:rPr>
      </w:pPr>
      <w:r w:rsidRPr="000E4F9F">
        <w:rPr>
          <w:b/>
          <w:i/>
        </w:rPr>
        <w:t>Grade Distribution</w:t>
      </w:r>
    </w:p>
    <w:p w:rsidR="00C00400" w:rsidRDefault="008F1D00" w:rsidP="003F7E40">
      <w:r>
        <w:t>The pie chart to the right</w:t>
      </w:r>
      <w:r w:rsidR="00C31EED">
        <w:t xml:space="preserve"> </w:t>
      </w:r>
      <w:r>
        <w:t>reflects the grade distribution for Math 110.  Of those students who registered for the course, 78% pass</w:t>
      </w:r>
      <w:r w:rsidR="00C00400">
        <w:t>ed</w:t>
      </w:r>
      <w:r>
        <w:t xml:space="preserve"> with a D or better.  However, most students are in majors requiring a minimum grade of C.  Only 55% of the total enrollment earned a C or better leaving 45% in jeopardy of having to repeat the course. </w:t>
      </w:r>
    </w:p>
    <w:p w:rsidR="00F17420" w:rsidRDefault="008F1D00" w:rsidP="003F7E40">
      <w:r>
        <w:t>The distri</w:t>
      </w:r>
      <w:r w:rsidR="002A63B7">
        <w:t>bution of grades is multi-modal (peaks at 3 levels</w:t>
      </w:r>
      <w:r w:rsidR="00C31EED">
        <w:t>) which</w:t>
      </w:r>
      <w:r>
        <w:t xml:space="preserve"> indicates that there are students at different levels of course mastery.  This can be caused by the varying levels of preparedness coming into Math 110 and the type of pre-requisite taken.  In the spring semesters, there are a variety of students who have different experiences including freshmen, sophomores, juniors, seniors and a growing number of repeat students.  Not all students start at the same point.  Thi</w:t>
      </w:r>
      <w:r w:rsidR="002A63B7">
        <w:t>s could explain the multi-modal</w:t>
      </w:r>
      <w:r w:rsidR="00C00400">
        <w:t xml:space="preserve"> distribution at B-, C and</w:t>
      </w:r>
      <w:r>
        <w:t xml:space="preserve"> D.  The math</w:t>
      </w:r>
      <w:r w:rsidR="00C00400">
        <w:t xml:space="preserve"> background of each student needs to be</w:t>
      </w:r>
      <w:r>
        <w:t xml:space="preserve"> further evaluated.</w:t>
      </w:r>
    </w:p>
    <w:p w:rsidR="00C31EED" w:rsidRPr="00C00400" w:rsidRDefault="00C31EED" w:rsidP="003F7E40"/>
    <w:p w:rsidR="00EC3795" w:rsidRDefault="00EC3795" w:rsidP="00EC3795">
      <w:pPr>
        <w:ind w:left="720" w:firstLine="720"/>
        <w:rPr>
          <w:b/>
          <w:i/>
        </w:rPr>
      </w:pPr>
      <w:r>
        <w:rPr>
          <w:b/>
          <w:i/>
        </w:rPr>
        <w:t>Retention</w:t>
      </w:r>
    </w:p>
    <w:p w:rsidR="008F1D00" w:rsidRPr="003F7E40" w:rsidRDefault="00C00400" w:rsidP="003F7E40">
      <w:pPr>
        <w:rPr>
          <w:b/>
        </w:rPr>
      </w:pPr>
      <w:r>
        <w:t>Retention rates of</w:t>
      </w:r>
      <w:r w:rsidR="008F1D00">
        <w:t xml:space="preserve"> Math </w:t>
      </w:r>
      <w:r>
        <w:t xml:space="preserve">110 a students remains high which is to be expected.  </w:t>
      </w:r>
      <w:r w:rsidR="008F1D00">
        <w:t>Other than the first year students, many of our students are upper classme</w:t>
      </w:r>
      <w:r w:rsidR="007A624B">
        <w:t>n who have declared their major</w:t>
      </w:r>
      <w:r w:rsidR="008F1D00">
        <w:t xml:space="preserve"> and understand the importance of completing their requirements at Trinity.  For students who</w:t>
      </w:r>
      <w:r w:rsidR="003F7E40">
        <w:rPr>
          <w:b/>
        </w:rPr>
        <w:t xml:space="preserve"> </w:t>
      </w:r>
      <w:r w:rsidR="008F1D00">
        <w:t>completed the course, the retention is 92%.  However, it is important to note that there have been a few high achieving students who have chosen to transfer to other universities</w:t>
      </w:r>
      <w:r w:rsidR="007A624B">
        <w:t>, primarily the</w:t>
      </w:r>
      <w:r w:rsidR="008F1D00">
        <w:t xml:space="preserve"> University of Maryland.  Several advisors have met with them to discuss all their options.</w:t>
      </w:r>
    </w:p>
    <w:p w:rsidR="008F1D00" w:rsidRDefault="008F1D00" w:rsidP="007A624B">
      <w:pPr>
        <w:rPr>
          <w:b/>
        </w:rPr>
      </w:pPr>
    </w:p>
    <w:p w:rsidR="00C31EED" w:rsidRDefault="00C31EED" w:rsidP="007A624B">
      <w:pPr>
        <w:rPr>
          <w:b/>
        </w:rPr>
      </w:pPr>
    </w:p>
    <w:p w:rsidR="00C31EED" w:rsidRDefault="00C31EED" w:rsidP="007A624B">
      <w:pPr>
        <w:rPr>
          <w:b/>
        </w:rPr>
      </w:pPr>
    </w:p>
    <w:p w:rsidR="00C31EED" w:rsidRDefault="00C31EED" w:rsidP="007A624B">
      <w:pPr>
        <w:rPr>
          <w:b/>
        </w:rPr>
      </w:pPr>
    </w:p>
    <w:p w:rsidR="00C31EED" w:rsidRDefault="00C31EED" w:rsidP="007A624B">
      <w:pPr>
        <w:rPr>
          <w:b/>
        </w:rPr>
      </w:pPr>
    </w:p>
    <w:p w:rsidR="00C31EED" w:rsidRDefault="00C31EED" w:rsidP="007A624B">
      <w:pPr>
        <w:rPr>
          <w:b/>
        </w:rPr>
      </w:pPr>
    </w:p>
    <w:p w:rsidR="00F17420" w:rsidRDefault="00C31EED" w:rsidP="00664B00">
      <w:pPr>
        <w:ind w:left="720"/>
        <w:rPr>
          <w:b/>
        </w:rPr>
      </w:pPr>
      <w:r>
        <w:rPr>
          <w:b/>
          <w:noProof/>
        </w:rPr>
        <w:lastRenderedPageBreak/>
        <w:drawing>
          <wp:anchor distT="0" distB="0" distL="114300" distR="114300" simplePos="0" relativeHeight="251664384" behindDoc="0" locked="0" layoutInCell="1" allowOverlap="1">
            <wp:simplePos x="0" y="0"/>
            <wp:positionH relativeFrom="margin">
              <wp:posOffset>3079750</wp:posOffset>
            </wp:positionH>
            <wp:positionV relativeFrom="margin">
              <wp:posOffset>284480</wp:posOffset>
            </wp:positionV>
            <wp:extent cx="3811270" cy="293814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F17420">
        <w:rPr>
          <w:b/>
        </w:rPr>
        <w:t>Math 123</w:t>
      </w:r>
      <w:r w:rsidR="007A624B">
        <w:rPr>
          <w:b/>
        </w:rPr>
        <w:t xml:space="preserve"> -</w:t>
      </w:r>
      <w:r w:rsidR="00F17420">
        <w:rPr>
          <w:b/>
        </w:rPr>
        <w:t xml:space="preserve"> Pre-Calculus</w:t>
      </w:r>
    </w:p>
    <w:p w:rsidR="000E4F9F" w:rsidRPr="007A624B" w:rsidRDefault="000E4F9F" w:rsidP="007A624B">
      <w:pPr>
        <w:ind w:left="720" w:firstLine="720"/>
        <w:rPr>
          <w:b/>
          <w:i/>
        </w:rPr>
      </w:pPr>
      <w:r w:rsidRPr="000E4F9F">
        <w:rPr>
          <w:b/>
          <w:i/>
        </w:rPr>
        <w:t>Grade Distribution</w:t>
      </w:r>
    </w:p>
    <w:p w:rsidR="00F17420" w:rsidRPr="00F17420" w:rsidRDefault="000E4F9F" w:rsidP="00791C5E">
      <w:r>
        <w:t>The pie chart to the right reflects the grade distribution for Math 123.</w:t>
      </w:r>
      <w:r w:rsidR="00791C5E">
        <w:t xml:space="preserve">  Of those registered for the course 84% pass</w:t>
      </w:r>
      <w:r w:rsidR="0031122B">
        <w:t>ed</w:t>
      </w:r>
      <w:r w:rsidR="00791C5E">
        <w:t xml:space="preserve"> and it increases 10 points to 94% for those completing the course.  However</w:t>
      </w:r>
      <w:proofErr w:type="gramStart"/>
      <w:r w:rsidR="002A63B7">
        <w:t xml:space="preserve">, </w:t>
      </w:r>
      <w:r w:rsidR="00791C5E">
        <w:t xml:space="preserve"> those</w:t>
      </w:r>
      <w:proofErr w:type="gramEnd"/>
      <w:r w:rsidR="00791C5E">
        <w:t xml:space="preserve"> students with grades of “D” must repeat if they are math majors, for science majors they can move on to Math 125, Calculus.</w:t>
      </w:r>
    </w:p>
    <w:p w:rsidR="00EC3795" w:rsidRDefault="00EC3795" w:rsidP="00EC3795">
      <w:pPr>
        <w:ind w:left="720" w:firstLine="720"/>
        <w:rPr>
          <w:b/>
          <w:i/>
        </w:rPr>
      </w:pPr>
      <w:r>
        <w:rPr>
          <w:b/>
          <w:i/>
        </w:rPr>
        <w:t>Retention</w:t>
      </w:r>
    </w:p>
    <w:p w:rsidR="00791C5E" w:rsidRDefault="00791C5E" w:rsidP="00791C5E">
      <w:r>
        <w:t>The retention rate for Math 123 is 68% for all students registering for the course and increases to 82% for those that complete the course.  This retention rate</w:t>
      </w:r>
      <w:r w:rsidR="00FD58A6">
        <w:t xml:space="preserve"> is similar to that of Math 102. T</w:t>
      </w:r>
      <w:r>
        <w:t>he</w:t>
      </w:r>
      <w:r w:rsidR="0031122B">
        <w:t xml:space="preserve"> overall enrollment</w:t>
      </w:r>
      <w:r w:rsidR="00FD58A6">
        <w:t xml:space="preserve"> numbers are small, so</w:t>
      </w:r>
      <w:r>
        <w:t xml:space="preserve"> the data, with a slight change of one or two students</w:t>
      </w:r>
      <w:r w:rsidR="00FD58A6">
        <w:t xml:space="preserve">, shifts the statistics quite dramatically, but </w:t>
      </w:r>
      <w:r>
        <w:t>change is</w:t>
      </w:r>
      <w:r w:rsidR="00FD58A6">
        <w:t xml:space="preserve"> really not significantly valid, as the sample size is too small.</w:t>
      </w:r>
    </w:p>
    <w:p w:rsidR="00EC3795" w:rsidRDefault="00EC3795" w:rsidP="00E321BD">
      <w:pPr>
        <w:rPr>
          <w:b/>
        </w:rPr>
      </w:pPr>
    </w:p>
    <w:p w:rsidR="00C31EED" w:rsidRPr="00664B00" w:rsidRDefault="00C31EED" w:rsidP="00E321BD">
      <w:pPr>
        <w:rPr>
          <w:b/>
        </w:rPr>
      </w:pPr>
    </w:p>
    <w:p w:rsidR="0065190E" w:rsidRPr="00FD58A6" w:rsidRDefault="0065190E" w:rsidP="0065190E">
      <w:pPr>
        <w:pStyle w:val="ListParagraph"/>
        <w:numPr>
          <w:ilvl w:val="0"/>
          <w:numId w:val="1"/>
        </w:numPr>
        <w:rPr>
          <w:b/>
        </w:rPr>
      </w:pPr>
      <w:r w:rsidRPr="00FD58A6">
        <w:rPr>
          <w:b/>
        </w:rPr>
        <w:t>Key Assessments</w:t>
      </w:r>
    </w:p>
    <w:p w:rsidR="00791C5E" w:rsidRPr="00FD58A6" w:rsidRDefault="00FD58A6" w:rsidP="00A57A6A">
      <w:pPr>
        <w:ind w:left="360" w:firstLine="360"/>
        <w:rPr>
          <w:b/>
        </w:rPr>
      </w:pPr>
      <w:r w:rsidRPr="00FD58A6">
        <w:rPr>
          <w:b/>
        </w:rPr>
        <w:t>Assessment 1:</w:t>
      </w:r>
    </w:p>
    <w:p w:rsidR="00791C5E" w:rsidRPr="00A57A6A" w:rsidRDefault="00791C5E" w:rsidP="00A57A6A">
      <w:pPr>
        <w:ind w:firstLine="720"/>
        <w:rPr>
          <w:b/>
        </w:rPr>
      </w:pPr>
      <w:r w:rsidRPr="00A57A6A">
        <w:rPr>
          <w:b/>
        </w:rPr>
        <w:t>Math 101S</w:t>
      </w:r>
      <w:r w:rsidR="00FD58A6" w:rsidRPr="00A57A6A">
        <w:rPr>
          <w:b/>
        </w:rPr>
        <w:t xml:space="preserve"> -</w:t>
      </w:r>
      <w:r w:rsidRPr="00A57A6A">
        <w:rPr>
          <w:b/>
        </w:rPr>
        <w:t xml:space="preserve"> Introductory Algebra</w:t>
      </w:r>
    </w:p>
    <w:p w:rsidR="00D12444" w:rsidRDefault="00D12444" w:rsidP="00A15DF5">
      <w:r>
        <w:t>The two most</w:t>
      </w:r>
      <w:r w:rsidR="00A15DF5">
        <w:t xml:space="preserve"> important role</w:t>
      </w:r>
      <w:r>
        <w:t>s</w:t>
      </w:r>
      <w:r w:rsidR="00FD58A6">
        <w:t xml:space="preserve"> of a pre-foundational course are</w:t>
      </w:r>
      <w:r>
        <w:t xml:space="preserve"> first</w:t>
      </w:r>
      <w:r w:rsidR="00FD58A6">
        <w:t xml:space="preserve">, whether or not the </w:t>
      </w:r>
      <w:r w:rsidR="00D420D9">
        <w:t>students,</w:t>
      </w:r>
      <w:r w:rsidR="00FD58A6">
        <w:t xml:space="preserve"> who take the course and pass</w:t>
      </w:r>
      <w:r w:rsidR="00A15DF5">
        <w:t xml:space="preserve"> it, can also p</w:t>
      </w:r>
      <w:r w:rsidR="00FD58A6">
        <w:t>ass the next sequential course and second,</w:t>
      </w:r>
      <w:r>
        <w:t xml:space="preserve"> the course</w:t>
      </w:r>
      <w:r w:rsidR="00FD58A6">
        <w:t xml:space="preserve"> is not a barrier</w:t>
      </w:r>
      <w:r>
        <w:t xml:space="preserve"> to those students that persist and complete the course, even if it may take them two semesters to do so.</w:t>
      </w:r>
    </w:p>
    <w:p w:rsidR="00A15DF5" w:rsidRDefault="00A15DF5" w:rsidP="00A15DF5">
      <w:r>
        <w:t xml:space="preserve">Trinity has a significant number of entering </w:t>
      </w:r>
      <w:r w:rsidR="001268D4">
        <w:t>freshmen</w:t>
      </w:r>
      <w:r>
        <w:t xml:space="preserve"> that must pass through Math 101S, last fall 66</w:t>
      </w:r>
      <w:r w:rsidR="001268D4">
        <w:t xml:space="preserve">% (171) </w:t>
      </w:r>
      <w:r>
        <w:t>of the class had to take it.</w:t>
      </w:r>
      <w:r w:rsidR="00E321BD">
        <w:t xml:space="preserve">  O</w:t>
      </w:r>
      <w:r w:rsidR="001268D4">
        <w:t xml:space="preserve">f </w:t>
      </w:r>
      <w:r w:rsidR="00D12444">
        <w:t xml:space="preserve">those </w:t>
      </w:r>
      <w:r w:rsidR="00E321BD">
        <w:t xml:space="preserve">students, </w:t>
      </w:r>
      <w:r w:rsidR="00D12444">
        <w:t>55</w:t>
      </w:r>
      <w:r w:rsidR="001268D4">
        <w:t xml:space="preserve">% </w:t>
      </w:r>
      <w:r w:rsidR="00D12444">
        <w:t>(94) passed</w:t>
      </w:r>
      <w:r w:rsidR="001268D4">
        <w:t>.  With persistence, another</w:t>
      </w:r>
      <w:r w:rsidR="00E321BD">
        <w:t xml:space="preserve"> 24 students passed </w:t>
      </w:r>
      <w:r w:rsidR="00D12444">
        <w:t xml:space="preserve"> in the spring, bringing the incoming Red Class of the fall 2012 semester to a pass rate of 63% </w:t>
      </w:r>
      <w:r w:rsidR="00694707">
        <w:t xml:space="preserve">(up from 53%) </w:t>
      </w:r>
      <w:r w:rsidR="00D12444">
        <w:t>for all registered students.</w:t>
      </w:r>
      <w:r w:rsidR="00E321BD">
        <w:t xml:space="preserve">  This would also bring the</w:t>
      </w:r>
      <w:r w:rsidR="00694707">
        <w:t xml:space="preserve"> pass rate for those students completing the course up to 89% (from 87%).</w:t>
      </w:r>
    </w:p>
    <w:p w:rsidR="00D12444" w:rsidRDefault="00D12444" w:rsidP="00A15DF5">
      <w:r>
        <w:t>Compared nationally, we are 20-25% higher than other open admissions colleges and universities.</w:t>
      </w:r>
    </w:p>
    <w:p w:rsidR="0031122B" w:rsidRDefault="0031122B" w:rsidP="00A15DF5">
      <w:r>
        <w:t xml:space="preserve">The pass rates for all math courses in the sequence directly after </w:t>
      </w:r>
      <w:r w:rsidR="00AF3AC7">
        <w:t>it</w:t>
      </w:r>
      <w:r>
        <w:t xml:space="preserve"> should be higher.  If it is lower, or the change is not significantly higher, than the course is not meeting its objectives.</w:t>
      </w:r>
    </w:p>
    <w:p w:rsidR="00804E1A" w:rsidRDefault="00694707" w:rsidP="00A15DF5">
      <w:r>
        <w:t>Clearly Math 101S is meeting its goals and objectives.</w:t>
      </w:r>
    </w:p>
    <w:p w:rsidR="00E321BD" w:rsidRDefault="00E321BD" w:rsidP="00A15DF5"/>
    <w:p w:rsidR="00E321BD" w:rsidRPr="00E321BD" w:rsidRDefault="00E321BD" w:rsidP="00A15DF5">
      <w:pPr>
        <w:rPr>
          <w:b/>
        </w:rPr>
      </w:pPr>
      <w:r>
        <w:lastRenderedPageBreak/>
        <w:tab/>
      </w:r>
      <w:r>
        <w:rPr>
          <w:b/>
        </w:rPr>
        <w:t>Target Topic:</w:t>
      </w:r>
    </w:p>
    <w:p w:rsidR="00E92BC6" w:rsidRPr="003F7E40" w:rsidRDefault="00804E1A" w:rsidP="00E321BD">
      <w:pPr>
        <w:ind w:left="720"/>
        <w:rPr>
          <w:b/>
        </w:rPr>
      </w:pPr>
      <w:r w:rsidRPr="00BC3FF9">
        <w:rPr>
          <w:b/>
        </w:rPr>
        <w:t>Longitudinal Outcomes – Math 101S</w:t>
      </w:r>
      <w:r w:rsidR="00E321BD">
        <w:rPr>
          <w:b/>
        </w:rPr>
        <w:t xml:space="preserve"> -</w:t>
      </w:r>
      <w:r w:rsidRPr="00BC3FF9">
        <w:rPr>
          <w:b/>
        </w:rPr>
        <w:t xml:space="preserve"> Introductory Algebra</w:t>
      </w:r>
    </w:p>
    <w:p w:rsidR="00304720" w:rsidRDefault="00304720" w:rsidP="00304720">
      <w:pPr>
        <w:rPr>
          <w:b/>
        </w:rPr>
      </w:pPr>
    </w:p>
    <w:p w:rsidR="00804E1A" w:rsidRPr="00804E1A" w:rsidRDefault="00C31EED" w:rsidP="00304720">
      <w:pPr>
        <w:rPr>
          <w:b/>
        </w:rPr>
      </w:pPr>
      <w:r>
        <w:rPr>
          <w:b/>
          <w:noProof/>
        </w:rPr>
        <w:drawing>
          <wp:anchor distT="0" distB="0" distL="114300" distR="114300" simplePos="0" relativeHeight="251676672" behindDoc="0" locked="0" layoutInCell="1" allowOverlap="1">
            <wp:simplePos x="0" y="0"/>
            <wp:positionH relativeFrom="margin">
              <wp:posOffset>3417570</wp:posOffset>
            </wp:positionH>
            <wp:positionV relativeFrom="margin">
              <wp:posOffset>1075690</wp:posOffset>
            </wp:positionV>
            <wp:extent cx="3288030" cy="3112770"/>
            <wp:effectExtent l="19050" t="0" r="2667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804E1A" w:rsidRPr="00804E1A">
        <w:rPr>
          <w:b/>
        </w:rPr>
        <w:t xml:space="preserve">Comparison of </w:t>
      </w:r>
      <w:proofErr w:type="gramStart"/>
      <w:r w:rsidR="00804E1A" w:rsidRPr="00804E1A">
        <w:rPr>
          <w:b/>
        </w:rPr>
        <w:t>Spring</w:t>
      </w:r>
      <w:proofErr w:type="gramEnd"/>
      <w:r w:rsidR="00804E1A" w:rsidRPr="00804E1A">
        <w:rPr>
          <w:b/>
        </w:rPr>
        <w:t xml:space="preserve"> 2010 </w:t>
      </w:r>
      <w:r w:rsidR="00304720" w:rsidRPr="00804E1A">
        <w:rPr>
          <w:b/>
        </w:rPr>
        <w:t xml:space="preserve">through </w:t>
      </w:r>
      <w:r w:rsidR="00304720">
        <w:rPr>
          <w:b/>
        </w:rPr>
        <w:t>Spring</w:t>
      </w:r>
      <w:r w:rsidR="00804E1A" w:rsidRPr="00804E1A">
        <w:rPr>
          <w:b/>
        </w:rPr>
        <w:t xml:space="preserve"> 2013 – All Students</w:t>
      </w:r>
    </w:p>
    <w:p w:rsidR="00804E1A" w:rsidRDefault="00E92BC6" w:rsidP="00804E1A">
      <w:r>
        <w:t xml:space="preserve">The overall pass rate (for all students that registered for Math 101S) dipped slightly from last spring to 47% (from 50%).  This is due to a significant increase (doubled from 14% to 28%) in the number of students that quit or </w:t>
      </w:r>
      <w:r w:rsidR="00E321BD">
        <w:t>abandoned the</w:t>
      </w:r>
      <w:r>
        <w:t xml:space="preserve"> course without formally withdrawing.  This trend is unacceptable.  On a positive note, </w:t>
      </w:r>
      <w:r w:rsidR="00E321BD">
        <w:t>the number of students that withdre</w:t>
      </w:r>
      <w:r>
        <w:t xml:space="preserve">w from the course decreased and </w:t>
      </w:r>
      <w:r w:rsidR="00E321BD">
        <w:t xml:space="preserve">the number of </w:t>
      </w:r>
      <w:r>
        <w:t>students that failed decreased.</w:t>
      </w:r>
    </w:p>
    <w:p w:rsidR="003F7E40" w:rsidRDefault="00E321BD" w:rsidP="00E321BD">
      <w:pPr>
        <w:rPr>
          <w:b/>
        </w:rPr>
      </w:pPr>
      <w:r>
        <w:rPr>
          <w:b/>
        </w:rPr>
        <w:t xml:space="preserve">           </w:t>
      </w:r>
    </w:p>
    <w:p w:rsidR="00804E1A" w:rsidRPr="00E92BC6" w:rsidRDefault="00E92BC6" w:rsidP="00304720">
      <w:pPr>
        <w:rPr>
          <w:b/>
        </w:rPr>
      </w:pPr>
      <w:r w:rsidRPr="00E92BC6">
        <w:rPr>
          <w:b/>
        </w:rPr>
        <w:t xml:space="preserve">Comparison of </w:t>
      </w:r>
      <w:proofErr w:type="gramStart"/>
      <w:r w:rsidRPr="00E92BC6">
        <w:rPr>
          <w:b/>
        </w:rPr>
        <w:t>Spring</w:t>
      </w:r>
      <w:proofErr w:type="gramEnd"/>
      <w:r w:rsidRPr="00E92BC6">
        <w:rPr>
          <w:b/>
        </w:rPr>
        <w:t xml:space="preserve"> 2010 through Spring 2013 – Students That Completed the Course</w:t>
      </w:r>
    </w:p>
    <w:p w:rsidR="00791C5E" w:rsidRDefault="00E92BC6" w:rsidP="00304720">
      <w:r>
        <w:t>Overall for those students that complete the cou</w:t>
      </w:r>
      <w:r w:rsidR="00E321BD">
        <w:t>rse, we continue to show modest</w:t>
      </w:r>
      <w:r>
        <w:t xml:space="preserve"> but steady gains as the pass rate sl</w:t>
      </w:r>
      <w:r w:rsidR="00E321BD">
        <w:t xml:space="preserve">ightly increased and the fail </w:t>
      </w:r>
      <w:r>
        <w:t>rate sl</w:t>
      </w:r>
      <w:r w:rsidR="00E321BD">
        <w:t>ightly decreased.  Students who</w:t>
      </w:r>
      <w:r>
        <w:t xml:space="preserve"> are </w:t>
      </w:r>
      <w:r w:rsidR="004B3CCF">
        <w:t>convinced</w:t>
      </w:r>
      <w:r>
        <w:t xml:space="preserve"> to stay, are persistent</w:t>
      </w:r>
      <w:r w:rsidR="00E321BD">
        <w:t>,</w:t>
      </w:r>
      <w:r>
        <w:t xml:space="preserve"> and do not quit, abandon or withdraw</w:t>
      </w:r>
      <w:r w:rsidR="004B3CCF">
        <w:t xml:space="preserve"> are pa</w:t>
      </w:r>
      <w:r w:rsidR="00E321BD">
        <w:t xml:space="preserve">ssing at a rate, for this </w:t>
      </w:r>
      <w:r w:rsidR="004B3CCF">
        <w:t>course, that is one of best in the nation</w:t>
      </w:r>
      <w:r w:rsidR="00822900">
        <w:t xml:space="preserve"> when compared to statistics reported by the National Association of Developmental Education (NADE).</w:t>
      </w:r>
    </w:p>
    <w:p w:rsidR="00E321BD" w:rsidRDefault="00E321BD" w:rsidP="00304720"/>
    <w:p w:rsidR="00E321BD" w:rsidRPr="00E321BD" w:rsidRDefault="00E321BD" w:rsidP="00E321BD">
      <w:pPr>
        <w:ind w:firstLine="720"/>
        <w:rPr>
          <w:b/>
        </w:rPr>
      </w:pPr>
      <w:r>
        <w:rPr>
          <w:b/>
        </w:rPr>
        <w:t>Assessment 2:</w:t>
      </w:r>
    </w:p>
    <w:p w:rsidR="00791C5E" w:rsidRPr="00304720" w:rsidRDefault="00791C5E" w:rsidP="00304720">
      <w:pPr>
        <w:ind w:firstLine="720"/>
        <w:rPr>
          <w:b/>
        </w:rPr>
      </w:pPr>
      <w:r w:rsidRPr="00304720">
        <w:rPr>
          <w:b/>
        </w:rPr>
        <w:t>Math 102</w:t>
      </w:r>
      <w:r w:rsidR="00A67F5F">
        <w:rPr>
          <w:b/>
        </w:rPr>
        <w:t>-</w:t>
      </w:r>
      <w:r w:rsidRPr="00304720">
        <w:rPr>
          <w:b/>
        </w:rPr>
        <w:t xml:space="preserve"> Intermediate Algebra</w:t>
      </w:r>
    </w:p>
    <w:p w:rsidR="00791C5E" w:rsidRDefault="0031122B" w:rsidP="00304720">
      <w:r>
        <w:t>This course is written as a pre-foundational algebra course for all math and science majors.</w:t>
      </w:r>
      <w:r w:rsidR="00E41E05">
        <w:t xml:space="preserve">  While the numbers are small, and cannot be used to prove or disprove any statistical change – the Math 123 course had its highest enrollm</w:t>
      </w:r>
      <w:r w:rsidR="00E321BD">
        <w:t>ent is several semesters.  S</w:t>
      </w:r>
      <w:r w:rsidR="00E41E05">
        <w:t xml:space="preserve">ince greater than 90% </w:t>
      </w:r>
      <w:r w:rsidR="002A63B7">
        <w:t>of the</w:t>
      </w:r>
      <w:r w:rsidR="00A67F5F">
        <w:t xml:space="preserve"> students that</w:t>
      </w:r>
      <w:r w:rsidR="00E41E05">
        <w:t xml:space="preserve"> completed the course</w:t>
      </w:r>
      <w:r w:rsidR="00A67F5F">
        <w:t xml:space="preserve"> passed</w:t>
      </w:r>
      <w:r w:rsidR="00E41E05">
        <w:t>, in-turn Math 125, Calculus will now have its highest enrollment i</w:t>
      </w:r>
      <w:r w:rsidR="00A67F5F">
        <w:t>n recent years</w:t>
      </w:r>
      <w:r w:rsidR="00E41E05">
        <w:t>.</w:t>
      </w:r>
    </w:p>
    <w:p w:rsidR="00C31EED" w:rsidRPr="00304720" w:rsidRDefault="00C31EED" w:rsidP="00304720"/>
    <w:p w:rsidR="00A67F5F" w:rsidRDefault="00A67F5F" w:rsidP="00A67F5F">
      <w:pPr>
        <w:ind w:firstLine="720"/>
        <w:rPr>
          <w:b/>
        </w:rPr>
      </w:pPr>
      <w:r>
        <w:rPr>
          <w:b/>
        </w:rPr>
        <w:t>Assessment 3:</w:t>
      </w:r>
    </w:p>
    <w:p w:rsidR="00791C5E" w:rsidRPr="00A67F5F" w:rsidRDefault="00791C5E" w:rsidP="00A67F5F">
      <w:pPr>
        <w:ind w:firstLine="720"/>
        <w:rPr>
          <w:b/>
        </w:rPr>
      </w:pPr>
      <w:r w:rsidRPr="00A67F5F">
        <w:rPr>
          <w:b/>
        </w:rPr>
        <w:t xml:space="preserve">Math 108 </w:t>
      </w:r>
      <w:r w:rsidR="00A67F5F">
        <w:rPr>
          <w:b/>
        </w:rPr>
        <w:t xml:space="preserve">- </w:t>
      </w:r>
      <w:r w:rsidRPr="00A67F5F">
        <w:rPr>
          <w:b/>
        </w:rPr>
        <w:t>Finite Mathematics</w:t>
      </w:r>
    </w:p>
    <w:p w:rsidR="00694707" w:rsidRDefault="00694707" w:rsidP="00694707">
      <w:r>
        <w:t xml:space="preserve">This course has a unique role in that it is a requirement for all life (pre-nursing) and social science (psychology and sociology) majors and it </w:t>
      </w:r>
      <w:r w:rsidR="00EA30FD">
        <w:t xml:space="preserve">is </w:t>
      </w:r>
      <w:r>
        <w:t>also provi</w:t>
      </w:r>
      <w:r w:rsidR="00EA30FD">
        <w:t>di</w:t>
      </w:r>
      <w:r>
        <w:t>ng the math sequence for all education, business and criminal justice majors.  It also serves as a prerequisite for Math 110, Introductory Statistics.</w:t>
      </w:r>
    </w:p>
    <w:p w:rsidR="0087413C" w:rsidRDefault="00C31EED" w:rsidP="00694707">
      <w:r>
        <w:rPr>
          <w:noProof/>
        </w:rPr>
        <w:lastRenderedPageBreak/>
        <w:drawing>
          <wp:anchor distT="0" distB="0" distL="114300" distR="114300" simplePos="0" relativeHeight="251675648" behindDoc="0" locked="0" layoutInCell="1" allowOverlap="1">
            <wp:simplePos x="0" y="0"/>
            <wp:positionH relativeFrom="margin">
              <wp:posOffset>3483610</wp:posOffset>
            </wp:positionH>
            <wp:positionV relativeFrom="margin">
              <wp:posOffset>57785</wp:posOffset>
            </wp:positionV>
            <wp:extent cx="3216275" cy="2630170"/>
            <wp:effectExtent l="19050" t="0" r="22225"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EA30FD">
        <w:t>While reports from</w:t>
      </w:r>
      <w:r w:rsidR="0087413C">
        <w:t xml:space="preserve"> colleagues in the School of Education (PRAXIS exams) and from Nursing and Health Professions (TEAS </w:t>
      </w:r>
      <w:r w:rsidR="00822900">
        <w:t>exams) show improved scores</w:t>
      </w:r>
      <w:r w:rsidR="00EA30FD">
        <w:t>, reports for</w:t>
      </w:r>
      <w:r w:rsidR="0087413C">
        <w:t xml:space="preserve"> students passing through </w:t>
      </w:r>
      <w:r w:rsidR="00EA30FD">
        <w:t xml:space="preserve">the </w:t>
      </w:r>
      <w:r w:rsidR="0087413C">
        <w:t xml:space="preserve">course and into Math 110 have some concern.   It </w:t>
      </w:r>
      <w:r w:rsidR="00EA30FD">
        <w:t>is clear that the course content summary of Math 108</w:t>
      </w:r>
      <w:r w:rsidR="0087413C">
        <w:t xml:space="preserve"> needs to be further tweaked to include, at minimum</w:t>
      </w:r>
      <w:r w:rsidR="00EA30FD">
        <w:t>,</w:t>
      </w:r>
      <w:r w:rsidR="0087413C">
        <w:t xml:space="preserve"> a short introduction to b</w:t>
      </w:r>
      <w:r w:rsidR="00EA30FD">
        <w:t>asic statistics and probability</w:t>
      </w:r>
      <w:r w:rsidR="0087413C">
        <w:t>.</w:t>
      </w:r>
    </w:p>
    <w:p w:rsidR="0087413C" w:rsidRDefault="0087413C" w:rsidP="00694707">
      <w:r>
        <w:t xml:space="preserve">In concert with the math faculty, the math </w:t>
      </w:r>
      <w:r w:rsidR="004C79F3">
        <w:t>specialists are</w:t>
      </w:r>
      <w:r w:rsidR="00EA30FD">
        <w:t xml:space="preserve"> updating these curriculum</w:t>
      </w:r>
      <w:r w:rsidR="00822900">
        <w:t xml:space="preserve"> needs</w:t>
      </w:r>
      <w:r w:rsidR="00EA30FD">
        <w:t xml:space="preserve"> over the summer, so that these topics are included in the </w:t>
      </w:r>
      <w:proofErr w:type="gramStart"/>
      <w:r w:rsidR="00EA30FD">
        <w:t>F</w:t>
      </w:r>
      <w:r>
        <w:t>all</w:t>
      </w:r>
      <w:proofErr w:type="gramEnd"/>
      <w:r>
        <w:t xml:space="preserve"> </w:t>
      </w:r>
      <w:r w:rsidR="00EA30FD">
        <w:t>2013 semester</w:t>
      </w:r>
      <w:r>
        <w:t>.</w:t>
      </w:r>
    </w:p>
    <w:p w:rsidR="00C31EED" w:rsidRDefault="00C31EED" w:rsidP="00694707"/>
    <w:p w:rsidR="00EA30FD" w:rsidRDefault="00B04135" w:rsidP="00EA30FD">
      <w:pPr>
        <w:ind w:firstLine="720"/>
        <w:rPr>
          <w:b/>
        </w:rPr>
      </w:pPr>
      <w:r>
        <w:rPr>
          <w:b/>
        </w:rPr>
        <w:t>Assessment 4</w:t>
      </w:r>
      <w:r w:rsidR="00EA30FD">
        <w:rPr>
          <w:b/>
        </w:rPr>
        <w:t>:</w:t>
      </w:r>
    </w:p>
    <w:p w:rsidR="00791C5E" w:rsidRPr="00304720" w:rsidRDefault="00791C5E" w:rsidP="00EA30FD">
      <w:pPr>
        <w:ind w:firstLine="720"/>
        <w:rPr>
          <w:b/>
        </w:rPr>
      </w:pPr>
      <w:r w:rsidRPr="00304720">
        <w:rPr>
          <w:b/>
        </w:rPr>
        <w:t xml:space="preserve">Math 109 </w:t>
      </w:r>
      <w:r w:rsidR="00EA30FD">
        <w:rPr>
          <w:b/>
        </w:rPr>
        <w:t xml:space="preserve">- </w:t>
      </w:r>
      <w:r w:rsidRPr="00304720">
        <w:rPr>
          <w:b/>
        </w:rPr>
        <w:t>Foundations of Mathematics</w:t>
      </w:r>
    </w:p>
    <w:p w:rsidR="00304720" w:rsidRDefault="00AF3AC7" w:rsidP="00304720">
      <w:r w:rsidRPr="00AF3AC7">
        <w:t xml:space="preserve">Math 109 is a demanding course designed to provide students in the humanities with the kind of Math proficiency that would enable them to function </w:t>
      </w:r>
      <w:r w:rsidR="00304720" w:rsidRPr="00AF3AC7">
        <w:t>successfully as</w:t>
      </w:r>
      <w:r w:rsidRPr="00AF3AC7">
        <w:t xml:space="preserve"> college graduates in the information age.  It is especially demanding </w:t>
      </w:r>
      <w:r w:rsidR="00304720" w:rsidRPr="00AF3AC7">
        <w:t>for the</w:t>
      </w:r>
      <w:r w:rsidRPr="00AF3AC7">
        <w:t xml:space="preserve"> humani</w:t>
      </w:r>
      <w:r w:rsidR="00EA30FD">
        <w:t>ty students that are averse to m</w:t>
      </w:r>
      <w:r w:rsidRPr="00AF3AC7">
        <w:t xml:space="preserve">athematics. While instituting past goals that aimed to adopt an </w:t>
      </w:r>
      <w:r w:rsidR="00304720" w:rsidRPr="00AF3AC7">
        <w:t>educational methodology</w:t>
      </w:r>
      <w:r w:rsidRPr="00AF3AC7">
        <w:t xml:space="preserve"> that is more similar to Math 101S by including daily quizzes and a </w:t>
      </w:r>
      <w:r w:rsidR="00304720" w:rsidRPr="00AF3AC7">
        <w:t>complementary weekly</w:t>
      </w:r>
      <w:r w:rsidRPr="00AF3AC7">
        <w:t xml:space="preserve"> ‘white board extravaganza’ math seminar, the overall passing rate </w:t>
      </w:r>
      <w:r w:rsidR="00304720" w:rsidRPr="00AF3AC7">
        <w:t>including those</w:t>
      </w:r>
      <w:r w:rsidRPr="00AF3AC7">
        <w:t xml:space="preserve"> who did not complete the course was 61%.  While 87% of those who persisted passed the</w:t>
      </w:r>
      <w:r w:rsidR="00EA30FD">
        <w:t xml:space="preserve"> course, the retention rate of 70% was</w:t>
      </w:r>
      <w:r w:rsidRPr="00AF3AC7">
        <w:t xml:space="preserve"> lower than last </w:t>
      </w:r>
      <w:r w:rsidR="00304720" w:rsidRPr="00AF3AC7">
        <w:t>semester‘s</w:t>
      </w:r>
      <w:r w:rsidR="00EA30FD">
        <w:t xml:space="preserve"> 75%. </w:t>
      </w:r>
    </w:p>
    <w:p w:rsidR="00C31EED" w:rsidRDefault="00C31EED" w:rsidP="00304720"/>
    <w:p w:rsidR="00B04135" w:rsidRDefault="00B04135" w:rsidP="00B04135">
      <w:pPr>
        <w:ind w:firstLine="720"/>
        <w:rPr>
          <w:b/>
        </w:rPr>
      </w:pPr>
      <w:r>
        <w:rPr>
          <w:b/>
        </w:rPr>
        <w:t>Assessment 5:</w:t>
      </w:r>
    </w:p>
    <w:p w:rsidR="00BC3FF9" w:rsidRPr="00B04135" w:rsidRDefault="00791C5E" w:rsidP="00B04135">
      <w:pPr>
        <w:ind w:firstLine="720"/>
        <w:rPr>
          <w:b/>
        </w:rPr>
      </w:pPr>
      <w:r w:rsidRPr="00B04135">
        <w:rPr>
          <w:b/>
        </w:rPr>
        <w:t>Math 110 Introductory Statistics</w:t>
      </w:r>
    </w:p>
    <w:p w:rsidR="008F1D00" w:rsidRPr="00EA30FD" w:rsidRDefault="00B04135" w:rsidP="008F1D00">
      <w:pPr>
        <w:rPr>
          <w:b/>
        </w:rPr>
      </w:pPr>
      <w:r>
        <w:t>The goal of i</w:t>
      </w:r>
      <w:r w:rsidR="008F1D00" w:rsidRPr="00C92252">
        <w:t>ntroductory Statistics (Math 110) has always been to sharpen students’ critical thinking and analysis skills to the point where they can effectively use statistical methodologies to analyze data.</w:t>
      </w:r>
      <w:r w:rsidR="008F1D00" w:rsidRPr="008F1D00">
        <w:rPr>
          <w:rFonts w:ascii="Times New Roman" w:hAnsi="Times New Roman" w:cs="Times New Roman"/>
          <w:sz w:val="24"/>
          <w:szCs w:val="24"/>
        </w:rPr>
        <w:t xml:space="preserve">  </w:t>
      </w:r>
      <w:r w:rsidR="008F1D00">
        <w:t>Over</w:t>
      </w:r>
      <w:r w:rsidR="00EA30FD">
        <w:rPr>
          <w:b/>
        </w:rPr>
        <w:t xml:space="preserve"> </w:t>
      </w:r>
      <w:r w:rsidR="008F1D00">
        <w:t>the last couple of semesters, changes have been made to improve the outcomes of this course.  These changes include both software adjustments as well as modifications to in-class exercises.   The objective was to foster critical thinking and independent learning needed for the type of statistical analysis expected at this level.  The gap between online grades and in class exams</w:t>
      </w:r>
      <w:r>
        <w:t>,</w:t>
      </w:r>
      <w:r w:rsidR="008F1D00">
        <w:t xml:space="preserve"> which had been wide</w:t>
      </w:r>
      <w:r>
        <w:t>,</w:t>
      </w:r>
      <w:r w:rsidR="008F1D00">
        <w:t xml:space="preserve"> was beginning to close</w:t>
      </w:r>
      <w:r>
        <w:t xml:space="preserve"> f</w:t>
      </w:r>
      <w:r w:rsidR="008F1D00">
        <w:t>or one section.  However, the results aren’t significant enough to drastically improve the overall outcomes.  Based upon exam results, some students are still struggling with basic algebraic concepts.  Some haven’t demonstrated a full mastery of developmental math to a level needed to make a smooth transition to Math 110.  This can result in students repeating this course which has been seen as many as 3 or 4 times for several students.</w:t>
      </w:r>
    </w:p>
    <w:p w:rsidR="008F1D00" w:rsidRDefault="008F1D00" w:rsidP="008F1D00">
      <w:r>
        <w:t>Also, it was broug</w:t>
      </w:r>
      <w:r w:rsidR="00A57A6A">
        <w:t>ht to the</w:t>
      </w:r>
      <w:r>
        <w:t xml:space="preserve"> attention </w:t>
      </w:r>
      <w:r w:rsidR="00A57A6A">
        <w:t xml:space="preserve">of a couple of math specialists </w:t>
      </w:r>
      <w:r>
        <w:t xml:space="preserve">that some students </w:t>
      </w:r>
      <w:r w:rsidR="00304720">
        <w:t>who transferred</w:t>
      </w:r>
      <w:r>
        <w:t xml:space="preserve"> to the University of Maryland were told their Math 110 credits weren’t accepted.  To address this concern, the course content and objectives are being compared to other schools which will probably result in more material being added to Math 110 here at Trinity.  In order to make this course comparable to other universities, the pre-</w:t>
      </w:r>
      <w:r>
        <w:lastRenderedPageBreak/>
        <w:t>requisite courses (Math 108 and Math 109) will have to be tweaked to include mo</w:t>
      </w:r>
      <w:r w:rsidR="00B04135">
        <w:t>re probability and statistics in</w:t>
      </w:r>
      <w:r>
        <w:t xml:space="preserve"> the curriculum.  Currently, Math 108 doesn’t include these concepts; however, it is being incorporated into the course objectives for </w:t>
      </w:r>
      <w:proofErr w:type="gramStart"/>
      <w:r>
        <w:t>Fall</w:t>
      </w:r>
      <w:proofErr w:type="gramEnd"/>
      <w:r>
        <w:t xml:space="preserve"> 2013.  Math</w:t>
      </w:r>
      <w:r w:rsidR="00B04135">
        <w:t xml:space="preserve"> 109 has a brief introduction to</w:t>
      </w:r>
      <w:r>
        <w:t xml:space="preserve"> statistics, but it too will be evaluated to see if that material is sufficient.</w:t>
      </w:r>
    </w:p>
    <w:p w:rsidR="008F1D00" w:rsidRDefault="008F1D00" w:rsidP="008F1D00">
      <w:r>
        <w:t>The pre-requisite courses, as mentioned above, will be tweaked.  However, there also needs to be a clearer understanding of what majors will need Math 108 versus Math 109.   Once statistics is a</w:t>
      </w:r>
      <w:r w:rsidR="00B04135">
        <w:t>dded to both, each department will be</w:t>
      </w:r>
      <w:r>
        <w:t xml:space="preserve"> encouraged to look at the course objectives and content in detail and assess which course best serves their students.  Math 108 didn’t include statistics when it was developed; however, Psychology and Sociology majors are identified as having </w:t>
      </w:r>
      <w:r w:rsidR="00B04135">
        <w:t>this course as a requirement even though</w:t>
      </w:r>
      <w:r>
        <w:t xml:space="preserve"> it lacks statistics.  These students sho</w:t>
      </w:r>
      <w:r w:rsidR="002A63B7">
        <w:t>uld be exposed to statistics as</w:t>
      </w:r>
      <w:r>
        <w:t xml:space="preserve"> early as possible.  This type of evaluation is underway and continued collaboration with department chairs will be beneficial.</w:t>
      </w:r>
    </w:p>
    <w:p w:rsidR="008F1D00" w:rsidRDefault="008F1D00" w:rsidP="008F1D00"/>
    <w:p w:rsidR="008F1D00" w:rsidRPr="00B04135" w:rsidRDefault="00B04135" w:rsidP="008F1D00">
      <w:pPr>
        <w:rPr>
          <w:b/>
        </w:rPr>
      </w:pPr>
      <w:r>
        <w:rPr>
          <w:b/>
        </w:rPr>
        <w:t>Target Topic:</w:t>
      </w:r>
    </w:p>
    <w:p w:rsidR="008F1D00" w:rsidRPr="00954F97" w:rsidRDefault="008F1D00" w:rsidP="008F1D00">
      <w:pPr>
        <w:rPr>
          <w:b/>
        </w:rPr>
      </w:pPr>
      <w:r w:rsidRPr="00954F97">
        <w:rPr>
          <w:b/>
        </w:rPr>
        <w:t>Longitudinal</w:t>
      </w:r>
      <w:r w:rsidR="00B04135">
        <w:rPr>
          <w:b/>
        </w:rPr>
        <w:t xml:space="preserve"> Outcomes – Math 110 – Introductory Statistics</w:t>
      </w:r>
    </w:p>
    <w:p w:rsidR="00BC3FF9" w:rsidRPr="00304720" w:rsidRDefault="00C31EED" w:rsidP="00304720">
      <w:pPr>
        <w:pStyle w:val="ListParagraph"/>
        <w:ind w:left="0"/>
      </w:pPr>
      <w:r>
        <w:rPr>
          <w:noProof/>
        </w:rPr>
        <w:drawing>
          <wp:anchor distT="0" distB="0" distL="114300" distR="114300" simplePos="0" relativeHeight="251672576" behindDoc="0" locked="0" layoutInCell="1" allowOverlap="1">
            <wp:simplePos x="0" y="0"/>
            <wp:positionH relativeFrom="margin">
              <wp:posOffset>2823210</wp:posOffset>
            </wp:positionH>
            <wp:positionV relativeFrom="margin">
              <wp:posOffset>3418205</wp:posOffset>
            </wp:positionV>
            <wp:extent cx="3739515" cy="2948305"/>
            <wp:effectExtent l="0" t="0" r="0" b="0"/>
            <wp:wrapSquare wrapText="bothSides"/>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2A63B7">
        <w:t>The bar graph to</w:t>
      </w:r>
      <w:r w:rsidR="00B04135">
        <w:t xml:space="preserve"> the </w:t>
      </w:r>
      <w:r w:rsidR="002A63B7">
        <w:t>right shows</w:t>
      </w:r>
      <w:r w:rsidR="008F1D00">
        <w:t xml:space="preserve"> the percentage of students earning a C or better for Math 110.  Detailed data is documented in the individual outcomes assessment reports.  An important observation is the drastic decline</w:t>
      </w:r>
      <w:r w:rsidR="002A63B7">
        <w:t xml:space="preserve"> </w:t>
      </w:r>
      <w:r w:rsidR="00B04135">
        <w:t xml:space="preserve"> </w:t>
      </w:r>
      <w:r w:rsidR="008F1D00">
        <w:t xml:space="preserve"> from 88% in </w:t>
      </w:r>
      <w:proofErr w:type="gramStart"/>
      <w:r w:rsidR="008F1D00">
        <w:t>Spring</w:t>
      </w:r>
      <w:proofErr w:type="gramEnd"/>
      <w:r w:rsidR="008F1D00">
        <w:t xml:space="preserve"> 2011 to 66% a year later of student earning a C or better.  It has somewhat stabilized in </w:t>
      </w:r>
      <w:proofErr w:type="gramStart"/>
      <w:r w:rsidR="008F1D00">
        <w:t>Spring</w:t>
      </w:r>
      <w:proofErr w:type="gramEnd"/>
      <w:r w:rsidR="008F1D00">
        <w:t xml:space="preserve"> 2013 at 65%. However, the goal is to return to the </w:t>
      </w:r>
      <w:proofErr w:type="gramStart"/>
      <w:r w:rsidR="008F1D00">
        <w:t>Spring</w:t>
      </w:r>
      <w:proofErr w:type="gramEnd"/>
      <w:r w:rsidR="008F1D00">
        <w:t xml:space="preserve"> 2011 results of 88%. Typically, the</w:t>
      </w:r>
      <w:r w:rsidR="008F1D00" w:rsidRPr="008F1D00">
        <w:t xml:space="preserve"> </w:t>
      </w:r>
      <w:r w:rsidR="008F1D00">
        <w:t>outcomes in the fall aren’t as high as spring semesters.  The spring semesters will have a group of strong freshmen who test directly into Math 108 or Math 109.  Despite that fact, having more than half of the statistics population (as in Fall 2012) who could potentially have to repeat</w:t>
      </w:r>
      <w:r w:rsidR="00A57A6A">
        <w:t xml:space="preserve"> the course is troubling.  Students’</w:t>
      </w:r>
      <w:r w:rsidR="008F1D00">
        <w:t xml:space="preserve"> challenges last fall semester are the same as the spring, but there were more</w:t>
      </w:r>
      <w:r w:rsidR="002A63B7">
        <w:t xml:space="preserve"> students with these challenges in the fall.</w:t>
      </w:r>
      <w:r w:rsidR="008F1D00">
        <w:t xml:space="preserve">  It was determined that 23% of the </w:t>
      </w:r>
      <w:proofErr w:type="gramStart"/>
      <w:r w:rsidR="008F1D00">
        <w:t>Spring</w:t>
      </w:r>
      <w:proofErr w:type="gramEnd"/>
      <w:r w:rsidR="008F1D00">
        <w:t xml:space="preserve"> 2013 enrollment were repeating the course which impacts the number of sections of Math 110 needed.</w:t>
      </w:r>
    </w:p>
    <w:p w:rsidR="00BC3FF9" w:rsidRDefault="00BC3FF9" w:rsidP="00791C5E">
      <w:pPr>
        <w:pStyle w:val="ListParagraph"/>
        <w:ind w:left="1080"/>
        <w:rPr>
          <w:b/>
        </w:rPr>
      </w:pPr>
    </w:p>
    <w:p w:rsidR="00A57A6A" w:rsidRDefault="00A57A6A" w:rsidP="00A57A6A">
      <w:pPr>
        <w:ind w:firstLine="720"/>
        <w:rPr>
          <w:b/>
        </w:rPr>
      </w:pPr>
      <w:r>
        <w:rPr>
          <w:b/>
        </w:rPr>
        <w:t>Assessment 6:</w:t>
      </w:r>
    </w:p>
    <w:p w:rsidR="00791C5E" w:rsidRPr="00A57A6A" w:rsidRDefault="00791C5E" w:rsidP="00A57A6A">
      <w:pPr>
        <w:ind w:firstLine="720"/>
        <w:rPr>
          <w:b/>
        </w:rPr>
      </w:pPr>
      <w:r w:rsidRPr="00A57A6A">
        <w:rPr>
          <w:b/>
        </w:rPr>
        <w:t>Math 123</w:t>
      </w:r>
      <w:r w:rsidR="00A57A6A">
        <w:rPr>
          <w:b/>
        </w:rPr>
        <w:t xml:space="preserve"> - </w:t>
      </w:r>
      <w:r w:rsidR="00A57A6A" w:rsidRPr="00A57A6A">
        <w:rPr>
          <w:b/>
        </w:rPr>
        <w:t>Pre</w:t>
      </w:r>
      <w:r w:rsidRPr="00A57A6A">
        <w:rPr>
          <w:b/>
        </w:rPr>
        <w:t>-Calculus</w:t>
      </w:r>
    </w:p>
    <w:p w:rsidR="00791C5E" w:rsidRDefault="00E41E05" w:rsidP="00E41E05">
      <w:r>
        <w:t>This course had its highest enrollment in a long time (see the notes from Math 102 above), which it-turn supports Math 125</w:t>
      </w:r>
      <w:r w:rsidR="00A57A6A">
        <w:t>,</w:t>
      </w:r>
      <w:r>
        <w:t xml:space="preserve"> Calculus.  That also means that the science majors have more students </w:t>
      </w:r>
      <w:r w:rsidR="00480239">
        <w:t>coming</w:t>
      </w:r>
      <w:r>
        <w:t xml:space="preserve"> through the math sequence that move into their majors.</w:t>
      </w:r>
    </w:p>
    <w:p w:rsidR="00664B00" w:rsidRDefault="00664B00" w:rsidP="00664B00"/>
    <w:p w:rsidR="00304720" w:rsidRDefault="0065190E" w:rsidP="00304720">
      <w:pPr>
        <w:pStyle w:val="ListParagraph"/>
        <w:numPr>
          <w:ilvl w:val="0"/>
          <w:numId w:val="1"/>
        </w:numPr>
        <w:rPr>
          <w:b/>
        </w:rPr>
      </w:pPr>
      <w:r w:rsidRPr="00304720">
        <w:rPr>
          <w:b/>
        </w:rPr>
        <w:t>Goals and Recommendations</w:t>
      </w:r>
    </w:p>
    <w:p w:rsidR="00304720" w:rsidRPr="00304720" w:rsidRDefault="00304720" w:rsidP="00304720">
      <w:pPr>
        <w:pStyle w:val="ListParagraph"/>
        <w:ind w:left="1080"/>
        <w:rPr>
          <w:b/>
        </w:rPr>
      </w:pPr>
    </w:p>
    <w:p w:rsidR="00304720" w:rsidRDefault="00304720" w:rsidP="00A57A6A">
      <w:pPr>
        <w:pStyle w:val="ListParagraph"/>
        <w:numPr>
          <w:ilvl w:val="0"/>
          <w:numId w:val="4"/>
        </w:numPr>
      </w:pPr>
      <w:r>
        <w:t>Increase the percentages of students who have mastered the course content</w:t>
      </w:r>
      <w:r w:rsidR="00A57A6A">
        <w:t xml:space="preserve"> in all math courses to</w:t>
      </w:r>
      <w:r>
        <w:t xml:space="preserve"> the point of earning a C or better.</w:t>
      </w:r>
    </w:p>
    <w:p w:rsidR="00304720" w:rsidRDefault="00304720" w:rsidP="004037B0">
      <w:pPr>
        <w:pStyle w:val="ListParagraph"/>
        <w:numPr>
          <w:ilvl w:val="0"/>
          <w:numId w:val="4"/>
        </w:numPr>
      </w:pPr>
      <w:r>
        <w:t>Continue to develop critical analysis skills and foster independent learning needed to properly draw mathematical and statistical conclusions</w:t>
      </w:r>
      <w:r w:rsidR="00A57A6A">
        <w:t xml:space="preserve"> and make sound recommendations through the </w:t>
      </w:r>
      <w:r w:rsidR="002A63B7">
        <w:t>appropriate</w:t>
      </w:r>
      <w:r w:rsidR="00A57A6A">
        <w:t xml:space="preserve"> math sequence.</w:t>
      </w:r>
    </w:p>
    <w:p w:rsidR="00304720" w:rsidRDefault="00304720" w:rsidP="004037B0">
      <w:pPr>
        <w:pStyle w:val="ListParagraph"/>
        <w:numPr>
          <w:ilvl w:val="0"/>
          <w:numId w:val="4"/>
        </w:numPr>
      </w:pPr>
      <w:r>
        <w:t>Assist in evaluating  all Math 100-level course content summaries</w:t>
      </w:r>
      <w:r w:rsidR="004037B0">
        <w:t xml:space="preserve"> and make recommendations when possible and advisable about restructuring a course to keep up with Trinity’s changing student population and changing programs</w:t>
      </w:r>
      <w:r>
        <w:t>.</w:t>
      </w:r>
    </w:p>
    <w:p w:rsidR="00304720" w:rsidRDefault="00304720" w:rsidP="004037B0">
      <w:pPr>
        <w:pStyle w:val="ListParagraph"/>
        <w:numPr>
          <w:ilvl w:val="0"/>
          <w:numId w:val="4"/>
        </w:numPr>
      </w:pPr>
      <w:r>
        <w:t xml:space="preserve">Provide suggestions as to what </w:t>
      </w:r>
      <w:r w:rsidR="004037B0">
        <w:t>mathematical/numeracy/</w:t>
      </w:r>
      <w:r>
        <w:t>statistics/probability content is important to the pre-r</w:t>
      </w:r>
      <w:r w:rsidR="004037B0">
        <w:t>equisites for subsequent math courses</w:t>
      </w:r>
      <w:r>
        <w:t>.</w:t>
      </w:r>
    </w:p>
    <w:p w:rsidR="00304720" w:rsidRDefault="00304720" w:rsidP="004037B0">
      <w:pPr>
        <w:pStyle w:val="ListParagraph"/>
        <w:numPr>
          <w:ilvl w:val="0"/>
          <w:numId w:val="4"/>
        </w:numPr>
      </w:pPr>
      <w:r>
        <w:t>Continue to help identify where students need additional help and collaborate with the other math</w:t>
      </w:r>
      <w:r w:rsidR="004037B0">
        <w:t>ematics</w:t>
      </w:r>
      <w:r>
        <w:t xml:space="preserve"> specialis</w:t>
      </w:r>
      <w:r w:rsidR="004037B0">
        <w:t>ts and faculty in finding solutions.</w:t>
      </w:r>
    </w:p>
    <w:p w:rsidR="00304720" w:rsidRDefault="00304720" w:rsidP="004037B0">
      <w:pPr>
        <w:pStyle w:val="ListParagraph"/>
        <w:numPr>
          <w:ilvl w:val="0"/>
          <w:numId w:val="4"/>
        </w:numPr>
      </w:pPr>
      <w:r>
        <w:t>Collaborate with department ch</w:t>
      </w:r>
      <w:r w:rsidR="00A57A6A">
        <w:t>airs and faculty in helping to</w:t>
      </w:r>
      <w:r>
        <w:t xml:space="preserve"> dete</w:t>
      </w:r>
      <w:r w:rsidR="004037B0">
        <w:t>rmine what is needed in the appropriate Math 100-l</w:t>
      </w:r>
      <w:r w:rsidR="00A57A6A">
        <w:t>e</w:t>
      </w:r>
      <w:r w:rsidR="004037B0">
        <w:t>vel courses for their programs in order for all</w:t>
      </w:r>
      <w:r>
        <w:t xml:space="preserve"> students to be successful.</w:t>
      </w:r>
    </w:p>
    <w:p w:rsidR="00304720" w:rsidRPr="00304720" w:rsidRDefault="00304720" w:rsidP="00304720">
      <w:pPr>
        <w:pStyle w:val="ListParagraph"/>
        <w:ind w:left="1080"/>
      </w:pPr>
    </w:p>
    <w:sectPr w:rsidR="00304720" w:rsidRPr="00304720" w:rsidSect="00363B2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AB" w:rsidRDefault="003868AB" w:rsidP="003868AB">
      <w:pPr>
        <w:spacing w:after="0" w:line="240" w:lineRule="auto"/>
      </w:pPr>
      <w:r>
        <w:separator/>
      </w:r>
    </w:p>
  </w:endnote>
  <w:endnote w:type="continuationSeparator" w:id="0">
    <w:p w:rsidR="003868AB" w:rsidRDefault="003868AB" w:rsidP="0038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BFGC+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BA" w:rsidRDefault="000F401E" w:rsidP="00B90F5D">
    <w:pPr>
      <w:pStyle w:val="Footer"/>
      <w:framePr w:wrap="around" w:vAnchor="text" w:hAnchor="margin" w:xAlign="center" w:y="1"/>
      <w:rPr>
        <w:rStyle w:val="PageNumber"/>
      </w:rPr>
    </w:pPr>
    <w:r>
      <w:rPr>
        <w:rStyle w:val="PageNumber"/>
      </w:rPr>
      <w:fldChar w:fldCharType="begin"/>
    </w:r>
    <w:r w:rsidR="004037B0">
      <w:rPr>
        <w:rStyle w:val="PageNumber"/>
      </w:rPr>
      <w:instrText xml:space="preserve">PAGE  </w:instrText>
    </w:r>
    <w:r>
      <w:rPr>
        <w:rStyle w:val="PageNumber"/>
      </w:rPr>
      <w:fldChar w:fldCharType="end"/>
    </w:r>
  </w:p>
  <w:p w:rsidR="002946BA" w:rsidRDefault="008F3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BA" w:rsidRDefault="000F401E" w:rsidP="00B90F5D">
    <w:pPr>
      <w:pStyle w:val="Footer"/>
      <w:framePr w:wrap="around" w:vAnchor="text" w:hAnchor="margin" w:xAlign="center" w:y="1"/>
      <w:rPr>
        <w:rStyle w:val="PageNumber"/>
      </w:rPr>
    </w:pPr>
    <w:r>
      <w:rPr>
        <w:rStyle w:val="PageNumber"/>
      </w:rPr>
      <w:fldChar w:fldCharType="begin"/>
    </w:r>
    <w:r w:rsidR="004037B0">
      <w:rPr>
        <w:rStyle w:val="PageNumber"/>
      </w:rPr>
      <w:instrText xml:space="preserve">PAGE  </w:instrText>
    </w:r>
    <w:r>
      <w:rPr>
        <w:rStyle w:val="PageNumber"/>
      </w:rPr>
      <w:fldChar w:fldCharType="separate"/>
    </w:r>
    <w:r w:rsidR="008F3B52">
      <w:rPr>
        <w:rStyle w:val="PageNumber"/>
        <w:noProof/>
      </w:rPr>
      <w:t>12</w:t>
    </w:r>
    <w:r>
      <w:rPr>
        <w:rStyle w:val="PageNumber"/>
      </w:rPr>
      <w:fldChar w:fldCharType="end"/>
    </w:r>
  </w:p>
  <w:p w:rsidR="002946BA" w:rsidRDefault="008F3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AB" w:rsidRDefault="003868AB" w:rsidP="003868AB">
      <w:pPr>
        <w:spacing w:after="0" w:line="240" w:lineRule="auto"/>
      </w:pPr>
      <w:r>
        <w:separator/>
      </w:r>
    </w:p>
  </w:footnote>
  <w:footnote w:type="continuationSeparator" w:id="0">
    <w:p w:rsidR="003868AB" w:rsidRDefault="003868AB" w:rsidP="00386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40A7"/>
    <w:multiLevelType w:val="hybridMultilevel"/>
    <w:tmpl w:val="22F43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F57769"/>
    <w:multiLevelType w:val="hybridMultilevel"/>
    <w:tmpl w:val="F81C0E20"/>
    <w:lvl w:ilvl="0" w:tplc="8B2470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E77E43"/>
    <w:multiLevelType w:val="hybridMultilevel"/>
    <w:tmpl w:val="89F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F5384"/>
    <w:multiLevelType w:val="hybridMultilevel"/>
    <w:tmpl w:val="D34A3D9C"/>
    <w:lvl w:ilvl="0" w:tplc="ED0A1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5F"/>
    <w:rsid w:val="00092F56"/>
    <w:rsid w:val="000E4F9F"/>
    <w:rsid w:val="000F401E"/>
    <w:rsid w:val="001268D4"/>
    <w:rsid w:val="001540C6"/>
    <w:rsid w:val="00157661"/>
    <w:rsid w:val="001A5EEC"/>
    <w:rsid w:val="0023480C"/>
    <w:rsid w:val="002A63B7"/>
    <w:rsid w:val="002D449D"/>
    <w:rsid w:val="00304720"/>
    <w:rsid w:val="0031122B"/>
    <w:rsid w:val="00342556"/>
    <w:rsid w:val="00363B22"/>
    <w:rsid w:val="003868AB"/>
    <w:rsid w:val="003F7E40"/>
    <w:rsid w:val="004037B0"/>
    <w:rsid w:val="0040643C"/>
    <w:rsid w:val="0044786B"/>
    <w:rsid w:val="00480239"/>
    <w:rsid w:val="004B3CCF"/>
    <w:rsid w:val="004C79F3"/>
    <w:rsid w:val="004D6F75"/>
    <w:rsid w:val="004F1040"/>
    <w:rsid w:val="00617CFC"/>
    <w:rsid w:val="0065190E"/>
    <w:rsid w:val="00664B00"/>
    <w:rsid w:val="00694707"/>
    <w:rsid w:val="00733C12"/>
    <w:rsid w:val="00741F7E"/>
    <w:rsid w:val="00791C5E"/>
    <w:rsid w:val="007A624B"/>
    <w:rsid w:val="00804E1A"/>
    <w:rsid w:val="00822900"/>
    <w:rsid w:val="00853322"/>
    <w:rsid w:val="0087413C"/>
    <w:rsid w:val="008C095F"/>
    <w:rsid w:val="008E0C3F"/>
    <w:rsid w:val="008F1D00"/>
    <w:rsid w:val="008F3B52"/>
    <w:rsid w:val="009121EE"/>
    <w:rsid w:val="009A524D"/>
    <w:rsid w:val="00A15DF5"/>
    <w:rsid w:val="00A4338D"/>
    <w:rsid w:val="00A57A6A"/>
    <w:rsid w:val="00A67F5F"/>
    <w:rsid w:val="00AB0056"/>
    <w:rsid w:val="00AF3AC7"/>
    <w:rsid w:val="00B04135"/>
    <w:rsid w:val="00B907E2"/>
    <w:rsid w:val="00BC3FF9"/>
    <w:rsid w:val="00C00400"/>
    <w:rsid w:val="00C31EED"/>
    <w:rsid w:val="00CB3344"/>
    <w:rsid w:val="00D12444"/>
    <w:rsid w:val="00D420D9"/>
    <w:rsid w:val="00D55D51"/>
    <w:rsid w:val="00DE62E2"/>
    <w:rsid w:val="00E035A4"/>
    <w:rsid w:val="00E13501"/>
    <w:rsid w:val="00E14902"/>
    <w:rsid w:val="00E321BD"/>
    <w:rsid w:val="00E41E05"/>
    <w:rsid w:val="00E92BC6"/>
    <w:rsid w:val="00E97568"/>
    <w:rsid w:val="00EA30FD"/>
    <w:rsid w:val="00EC3795"/>
    <w:rsid w:val="00EE0EA3"/>
    <w:rsid w:val="00F015D4"/>
    <w:rsid w:val="00F10103"/>
    <w:rsid w:val="00F17420"/>
    <w:rsid w:val="00F65725"/>
    <w:rsid w:val="00FB7067"/>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14902"/>
    <w:pPr>
      <w:keepNext/>
      <w:spacing w:before="240" w:after="60" w:line="240" w:lineRule="auto"/>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5F"/>
    <w:pPr>
      <w:ind w:left="720"/>
      <w:contextualSpacing/>
    </w:pPr>
  </w:style>
  <w:style w:type="table" w:styleId="TableGrid">
    <w:name w:val="Table Grid"/>
    <w:basedOn w:val="TableNormal"/>
    <w:uiPriority w:val="59"/>
    <w:rsid w:val="008C0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0E"/>
    <w:rPr>
      <w:rFonts w:ascii="Tahoma" w:hAnsi="Tahoma" w:cs="Tahoma"/>
      <w:sz w:val="16"/>
      <w:szCs w:val="16"/>
    </w:rPr>
  </w:style>
  <w:style w:type="character" w:customStyle="1" w:styleId="Heading2Char">
    <w:name w:val="Heading 2 Char"/>
    <w:basedOn w:val="DefaultParagraphFont"/>
    <w:link w:val="Heading2"/>
    <w:rsid w:val="00E14902"/>
    <w:rPr>
      <w:rFonts w:ascii="Cambria" w:eastAsia="Times New Roman" w:hAnsi="Cambria" w:cs="Times New Roman"/>
      <w:b/>
      <w:bCs/>
      <w:i/>
      <w:iCs/>
      <w:sz w:val="28"/>
      <w:szCs w:val="28"/>
      <w:lang w:bidi="en-US"/>
    </w:rPr>
  </w:style>
  <w:style w:type="paragraph" w:customStyle="1" w:styleId="Default">
    <w:name w:val="Default"/>
    <w:rsid w:val="00E14902"/>
    <w:pPr>
      <w:autoSpaceDE w:val="0"/>
      <w:autoSpaceDN w:val="0"/>
      <w:adjustRightInd w:val="0"/>
      <w:spacing w:after="0" w:line="240" w:lineRule="auto"/>
    </w:pPr>
    <w:rPr>
      <w:rFonts w:ascii="NIBFGC+TimesNewRoman" w:eastAsia="Times New Roman" w:hAnsi="NIBFGC+TimesNewRoman" w:cs="NIBFGC+TimesNewRoman"/>
      <w:color w:val="000000"/>
      <w:sz w:val="24"/>
      <w:szCs w:val="24"/>
    </w:rPr>
  </w:style>
  <w:style w:type="paragraph" w:styleId="Footer">
    <w:name w:val="footer"/>
    <w:basedOn w:val="Normal"/>
    <w:link w:val="FooterChar"/>
    <w:uiPriority w:val="99"/>
    <w:rsid w:val="001A5E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5EEC"/>
    <w:rPr>
      <w:rFonts w:ascii="Times New Roman" w:eastAsia="Times New Roman" w:hAnsi="Times New Roman" w:cs="Times New Roman"/>
      <w:sz w:val="24"/>
      <w:szCs w:val="24"/>
    </w:rPr>
  </w:style>
  <w:style w:type="character" w:styleId="PageNumber">
    <w:name w:val="page number"/>
    <w:basedOn w:val="DefaultParagraphFont"/>
    <w:rsid w:val="001A5EEC"/>
  </w:style>
  <w:style w:type="character" w:styleId="Hyperlink">
    <w:name w:val="Hyperlink"/>
    <w:basedOn w:val="DefaultParagraphFont"/>
    <w:uiPriority w:val="99"/>
    <w:unhideWhenUsed/>
    <w:rsid w:val="003F7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14902"/>
    <w:pPr>
      <w:keepNext/>
      <w:spacing w:before="240" w:after="60" w:line="240" w:lineRule="auto"/>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5F"/>
    <w:pPr>
      <w:ind w:left="720"/>
      <w:contextualSpacing/>
    </w:pPr>
  </w:style>
  <w:style w:type="table" w:styleId="TableGrid">
    <w:name w:val="Table Grid"/>
    <w:basedOn w:val="TableNormal"/>
    <w:uiPriority w:val="59"/>
    <w:rsid w:val="008C0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0E"/>
    <w:rPr>
      <w:rFonts w:ascii="Tahoma" w:hAnsi="Tahoma" w:cs="Tahoma"/>
      <w:sz w:val="16"/>
      <w:szCs w:val="16"/>
    </w:rPr>
  </w:style>
  <w:style w:type="character" w:customStyle="1" w:styleId="Heading2Char">
    <w:name w:val="Heading 2 Char"/>
    <w:basedOn w:val="DefaultParagraphFont"/>
    <w:link w:val="Heading2"/>
    <w:rsid w:val="00E14902"/>
    <w:rPr>
      <w:rFonts w:ascii="Cambria" w:eastAsia="Times New Roman" w:hAnsi="Cambria" w:cs="Times New Roman"/>
      <w:b/>
      <w:bCs/>
      <w:i/>
      <w:iCs/>
      <w:sz w:val="28"/>
      <w:szCs w:val="28"/>
      <w:lang w:bidi="en-US"/>
    </w:rPr>
  </w:style>
  <w:style w:type="paragraph" w:customStyle="1" w:styleId="Default">
    <w:name w:val="Default"/>
    <w:rsid w:val="00E14902"/>
    <w:pPr>
      <w:autoSpaceDE w:val="0"/>
      <w:autoSpaceDN w:val="0"/>
      <w:adjustRightInd w:val="0"/>
      <w:spacing w:after="0" w:line="240" w:lineRule="auto"/>
    </w:pPr>
    <w:rPr>
      <w:rFonts w:ascii="NIBFGC+TimesNewRoman" w:eastAsia="Times New Roman" w:hAnsi="NIBFGC+TimesNewRoman" w:cs="NIBFGC+TimesNewRoman"/>
      <w:color w:val="000000"/>
      <w:sz w:val="24"/>
      <w:szCs w:val="24"/>
    </w:rPr>
  </w:style>
  <w:style w:type="paragraph" w:styleId="Footer">
    <w:name w:val="footer"/>
    <w:basedOn w:val="Normal"/>
    <w:link w:val="FooterChar"/>
    <w:uiPriority w:val="99"/>
    <w:rsid w:val="001A5E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5EEC"/>
    <w:rPr>
      <w:rFonts w:ascii="Times New Roman" w:eastAsia="Times New Roman" w:hAnsi="Times New Roman" w:cs="Times New Roman"/>
      <w:sz w:val="24"/>
      <w:szCs w:val="24"/>
    </w:rPr>
  </w:style>
  <w:style w:type="character" w:styleId="PageNumber">
    <w:name w:val="page number"/>
    <w:basedOn w:val="DefaultParagraphFont"/>
    <w:rsid w:val="001A5EEC"/>
  </w:style>
  <w:style w:type="character" w:styleId="Hyperlink">
    <w:name w:val="Hyperlink"/>
    <w:basedOn w:val="DefaultParagraphFont"/>
    <w:uiPriority w:val="99"/>
    <w:unhideWhenUsed/>
    <w:rsid w:val="003F7E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01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shieldsk\Desktop\Stats%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01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X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X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trinity-its\data\Home\awretu\Documents\109%20mspring%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shieldsk\Desktop\Stats%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XX).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01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rinity\Reports\Spring%20'13%20Final%20Report\Working%20File%20-%20Spring%20'13%20Report%20(Math%20101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Calibri" pitchFamily="34" charset="0"/>
              </a:defRPr>
            </a:pPr>
            <a:r>
              <a:rPr lang="en-US" sz="1100" baseline="0">
                <a:latin typeface="Calibri" pitchFamily="34" charset="0"/>
              </a:rPr>
              <a:t>Grade Distribution of All Students That Registered for Math 101S - Spring 2013 Semester</a:t>
            </a:r>
          </a:p>
        </c:rich>
      </c:tx>
      <c:layout>
        <c:manualLayout>
          <c:xMode val="edge"/>
          <c:yMode val="edge"/>
          <c:x val="0.13678963110667994"/>
          <c:y val="0"/>
        </c:manualLayout>
      </c:layout>
      <c:overlay val="0"/>
    </c:title>
    <c:autoTitleDeleted val="0"/>
    <c:plotArea>
      <c:layout/>
      <c:pieChart>
        <c:varyColors val="1"/>
        <c:ser>
          <c:idx val="0"/>
          <c:order val="0"/>
          <c:tx>
            <c:v>Grade Distribution</c:v>
          </c:tx>
          <c:dLbls>
            <c:showLegendKey val="0"/>
            <c:showVal val="0"/>
            <c:showCatName val="1"/>
            <c:showSerName val="0"/>
            <c:showPercent val="1"/>
            <c:showBubbleSize val="0"/>
            <c:showLeaderLines val="1"/>
          </c:dLbls>
          <c:cat>
            <c:strRef>
              <c:f>Sheet1!$AW$1:$AW$6</c:f>
              <c:strCache>
                <c:ptCount val="6"/>
                <c:pt idx="0">
                  <c:v>A</c:v>
                </c:pt>
                <c:pt idx="1">
                  <c:v>B</c:v>
                </c:pt>
                <c:pt idx="2">
                  <c:v>C</c:v>
                </c:pt>
                <c:pt idx="3">
                  <c:v>F</c:v>
                </c:pt>
                <c:pt idx="4">
                  <c:v>FQ</c:v>
                </c:pt>
                <c:pt idx="5">
                  <c:v>W</c:v>
                </c:pt>
              </c:strCache>
            </c:strRef>
          </c:cat>
          <c:val>
            <c:numRef>
              <c:f>Sheet1!$AX$1:$AX$6</c:f>
              <c:numCache>
                <c:formatCode>General</c:formatCode>
                <c:ptCount val="6"/>
                <c:pt idx="0">
                  <c:v>2</c:v>
                </c:pt>
                <c:pt idx="1">
                  <c:v>17</c:v>
                </c:pt>
                <c:pt idx="2">
                  <c:v>30</c:v>
                </c:pt>
                <c:pt idx="3">
                  <c:v>10</c:v>
                </c:pt>
                <c:pt idx="4">
                  <c:v>29</c:v>
                </c:pt>
                <c:pt idx="5">
                  <c:v>17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Percent of Math</a:t>
            </a:r>
            <a:r>
              <a:rPr lang="en-US" sz="1200" baseline="0"/>
              <a:t> 110 students earning a C or better</a:t>
            </a:r>
            <a:endParaRPr lang="en-US" sz="1200"/>
          </a:p>
        </c:rich>
      </c:tx>
      <c:overlay val="0"/>
    </c:title>
    <c:autoTitleDeleted val="0"/>
    <c:plotArea>
      <c:layout/>
      <c:barChart>
        <c:barDir val="col"/>
        <c:grouping val="clustered"/>
        <c:varyColors val="0"/>
        <c:ser>
          <c:idx val="0"/>
          <c:order val="0"/>
          <c:invertIfNegative val="0"/>
          <c:dLbls>
            <c:dLblPos val="inEnd"/>
            <c:showLegendKey val="0"/>
            <c:showVal val="1"/>
            <c:showCatName val="0"/>
            <c:showSerName val="0"/>
            <c:showPercent val="0"/>
            <c:showBubbleSize val="0"/>
            <c:showLeaderLines val="0"/>
          </c:dLbls>
          <c:cat>
            <c:strRef>
              <c:f>Sheet1!$F$39:$F$42</c:f>
              <c:strCache>
                <c:ptCount val="4"/>
                <c:pt idx="0">
                  <c:v>Spring 2011</c:v>
                </c:pt>
                <c:pt idx="1">
                  <c:v>Spring 2012</c:v>
                </c:pt>
                <c:pt idx="2">
                  <c:v>Fall 2012</c:v>
                </c:pt>
                <c:pt idx="3">
                  <c:v>Spring 2013</c:v>
                </c:pt>
              </c:strCache>
            </c:strRef>
          </c:cat>
          <c:val>
            <c:numRef>
              <c:f>Sheet1!$G$39:$G$42</c:f>
              <c:numCache>
                <c:formatCode>0%</c:formatCode>
                <c:ptCount val="4"/>
                <c:pt idx="0">
                  <c:v>0.87671232876712257</c:v>
                </c:pt>
                <c:pt idx="1">
                  <c:v>0.66371681415929318</c:v>
                </c:pt>
                <c:pt idx="2">
                  <c:v>0.48000000000000032</c:v>
                </c:pt>
                <c:pt idx="3">
                  <c:v>0.64545454545454561</c:v>
                </c:pt>
              </c:numCache>
            </c:numRef>
          </c:val>
        </c:ser>
        <c:dLbls>
          <c:showLegendKey val="0"/>
          <c:showVal val="0"/>
          <c:showCatName val="0"/>
          <c:showSerName val="0"/>
          <c:showPercent val="0"/>
          <c:showBubbleSize val="0"/>
        </c:dLbls>
        <c:gapWidth val="75"/>
        <c:overlap val="40"/>
        <c:axId val="100290560"/>
        <c:axId val="100292096"/>
      </c:barChart>
      <c:catAx>
        <c:axId val="100290560"/>
        <c:scaling>
          <c:orientation val="minMax"/>
        </c:scaling>
        <c:delete val="0"/>
        <c:axPos val="b"/>
        <c:majorTickMark val="none"/>
        <c:minorTickMark val="none"/>
        <c:tickLblPos val="nextTo"/>
        <c:crossAx val="100292096"/>
        <c:crosses val="autoZero"/>
        <c:auto val="1"/>
        <c:lblAlgn val="ctr"/>
        <c:lblOffset val="100"/>
        <c:noMultiLvlLbl val="0"/>
      </c:catAx>
      <c:valAx>
        <c:axId val="100292096"/>
        <c:scaling>
          <c:orientation val="minMax"/>
        </c:scaling>
        <c:delete val="0"/>
        <c:axPos val="l"/>
        <c:majorGridlines/>
        <c:numFmt formatCode="0%" sourceLinked="1"/>
        <c:majorTickMark val="none"/>
        <c:minorTickMark val="none"/>
        <c:tickLblPos val="nextTo"/>
        <c:crossAx val="10029056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baseline="0">
              <a:latin typeface="Calibri" pitchFamily="34" charset="0"/>
            </a:defRPr>
          </a:pPr>
          <a:endParaRPr lang="en-US"/>
        </a:p>
      </c:txPr>
    </c:title>
    <c:autoTitleDeleted val="0"/>
    <c:plotArea>
      <c:layout/>
      <c:pieChart>
        <c:varyColors val="1"/>
        <c:ser>
          <c:idx val="0"/>
          <c:order val="0"/>
          <c:tx>
            <c:v>Grade Distribution for Repeaters</c:v>
          </c:tx>
          <c:dLbls>
            <c:spPr>
              <a:noFill/>
              <a:ln>
                <a:noFill/>
              </a:ln>
            </c:spPr>
            <c:showLegendKey val="0"/>
            <c:showVal val="0"/>
            <c:showCatName val="1"/>
            <c:showSerName val="0"/>
            <c:showPercent val="1"/>
            <c:showBubbleSize val="0"/>
            <c:showLeaderLines val="1"/>
          </c:dLbls>
          <c:cat>
            <c:strRef>
              <c:f>Sheet1!$BQ$1:$BQ$5</c:f>
              <c:strCache>
                <c:ptCount val="5"/>
                <c:pt idx="0">
                  <c:v>B</c:v>
                </c:pt>
                <c:pt idx="1">
                  <c:v>C</c:v>
                </c:pt>
                <c:pt idx="2">
                  <c:v>F</c:v>
                </c:pt>
                <c:pt idx="3">
                  <c:v>FQ</c:v>
                </c:pt>
                <c:pt idx="4">
                  <c:v>W</c:v>
                </c:pt>
              </c:strCache>
            </c:strRef>
          </c:cat>
          <c:val>
            <c:numRef>
              <c:f>Sheet1!$BR$1:$BR$5</c:f>
              <c:numCache>
                <c:formatCode>General</c:formatCode>
                <c:ptCount val="5"/>
                <c:pt idx="0">
                  <c:v>8</c:v>
                </c:pt>
                <c:pt idx="1">
                  <c:v>17</c:v>
                </c:pt>
                <c:pt idx="2">
                  <c:v>8</c:v>
                </c:pt>
                <c:pt idx="3">
                  <c:v>23</c:v>
                </c:pt>
                <c:pt idx="4">
                  <c:v>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Calibri" pitchFamily="34" charset="0"/>
              </a:defRPr>
            </a:pPr>
            <a:r>
              <a:rPr lang="en-US" sz="1100" baseline="0">
                <a:latin typeface="Calibri" pitchFamily="34" charset="0"/>
              </a:rPr>
              <a:t>Grade Distribution of All Students That Registered for Math 102 - Spring 2013 Semester</a:t>
            </a:r>
          </a:p>
        </c:rich>
      </c:tx>
      <c:overlay val="0"/>
    </c:title>
    <c:autoTitleDeleted val="0"/>
    <c:plotArea>
      <c:layout/>
      <c:pieChart>
        <c:varyColors val="1"/>
        <c:ser>
          <c:idx val="0"/>
          <c:order val="0"/>
          <c:tx>
            <c:v>Grade Distributioin</c:v>
          </c:tx>
          <c:dLbls>
            <c:showLegendKey val="0"/>
            <c:showVal val="0"/>
            <c:showCatName val="1"/>
            <c:showSerName val="0"/>
            <c:showPercent val="1"/>
            <c:showBubbleSize val="0"/>
            <c:showLeaderLines val="1"/>
          </c:dLbls>
          <c:cat>
            <c:strRef>
              <c:f>Sheet1!$M$1:$M$7</c:f>
              <c:strCache>
                <c:ptCount val="7"/>
                <c:pt idx="0">
                  <c:v>A</c:v>
                </c:pt>
                <c:pt idx="1">
                  <c:v>B</c:v>
                </c:pt>
                <c:pt idx="2">
                  <c:v>C</c:v>
                </c:pt>
                <c:pt idx="3">
                  <c:v>D</c:v>
                </c:pt>
                <c:pt idx="4">
                  <c:v>F</c:v>
                </c:pt>
                <c:pt idx="5">
                  <c:v>FQ</c:v>
                </c:pt>
                <c:pt idx="6">
                  <c:v>W</c:v>
                </c:pt>
              </c:strCache>
            </c:strRef>
          </c:cat>
          <c:val>
            <c:numRef>
              <c:f>Sheet1!$N$1:$N$7</c:f>
              <c:numCache>
                <c:formatCode>General</c:formatCode>
                <c:ptCount val="7"/>
                <c:pt idx="0">
                  <c:v>4</c:v>
                </c:pt>
                <c:pt idx="1">
                  <c:v>6</c:v>
                </c:pt>
                <c:pt idx="2">
                  <c:v>4</c:v>
                </c:pt>
                <c:pt idx="3">
                  <c:v>2</c:v>
                </c:pt>
                <c:pt idx="4">
                  <c:v>2</c:v>
                </c:pt>
                <c:pt idx="5">
                  <c:v>2</c:v>
                </c:pt>
                <c:pt idx="6">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baseline="0">
              <a:latin typeface="Calibri" pitchFamily="34" charset="0"/>
            </a:defRPr>
          </a:pPr>
          <a:endParaRPr lang="en-US"/>
        </a:p>
      </c:txPr>
    </c:title>
    <c:autoTitleDeleted val="0"/>
    <c:plotArea>
      <c:layout/>
      <c:pieChart>
        <c:varyColors val="1"/>
        <c:ser>
          <c:idx val="0"/>
          <c:order val="0"/>
          <c:tx>
            <c:v>Grade Distribution of all Students That Registered for Math 108 - Spring 2013</c:v>
          </c:tx>
          <c:dLbls>
            <c:showLegendKey val="0"/>
            <c:showVal val="0"/>
            <c:showCatName val="1"/>
            <c:showSerName val="0"/>
            <c:showPercent val="1"/>
            <c:showBubbleSize val="0"/>
            <c:showLeaderLines val="1"/>
          </c:dLbls>
          <c:cat>
            <c:strRef>
              <c:f>Sheet2!$AA$1:$AA$7</c:f>
              <c:strCache>
                <c:ptCount val="7"/>
                <c:pt idx="0">
                  <c:v>A</c:v>
                </c:pt>
                <c:pt idx="1">
                  <c:v>B</c:v>
                </c:pt>
                <c:pt idx="2">
                  <c:v>C</c:v>
                </c:pt>
                <c:pt idx="3">
                  <c:v>D</c:v>
                </c:pt>
                <c:pt idx="4">
                  <c:v>F</c:v>
                </c:pt>
                <c:pt idx="5">
                  <c:v>FQ</c:v>
                </c:pt>
                <c:pt idx="6">
                  <c:v>W</c:v>
                </c:pt>
              </c:strCache>
            </c:strRef>
          </c:cat>
          <c:val>
            <c:numRef>
              <c:f>Sheet2!$AB$1:$AB$7</c:f>
              <c:numCache>
                <c:formatCode>General</c:formatCode>
                <c:ptCount val="7"/>
                <c:pt idx="0">
                  <c:v>19</c:v>
                </c:pt>
                <c:pt idx="1">
                  <c:v>22</c:v>
                </c:pt>
                <c:pt idx="2">
                  <c:v>23</c:v>
                </c:pt>
                <c:pt idx="3">
                  <c:v>11</c:v>
                </c:pt>
                <c:pt idx="4">
                  <c:v>10</c:v>
                </c:pt>
                <c:pt idx="5">
                  <c:v>8</c:v>
                </c:pt>
                <c:pt idx="6">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baseline="0">
                <a:latin typeface="Calibri" pitchFamily="34" charset="0"/>
              </a:rPr>
              <a:t>Grade Distribution of All students who registered for Math 109 -spring 2013</a:t>
            </a:r>
            <a:r>
              <a:rPr lang="en-US" sz="1400"/>
              <a:t>.</a:t>
            </a:r>
          </a:p>
        </c:rich>
      </c:tx>
      <c:overlay val="0"/>
    </c:title>
    <c:autoTitleDeleted val="0"/>
    <c:plotArea>
      <c:layout/>
      <c:pieChart>
        <c:varyColors val="1"/>
        <c:ser>
          <c:idx val="0"/>
          <c:order val="0"/>
          <c:tx>
            <c:v>Grade distribution of students who registered.</c:v>
          </c:tx>
          <c:dLbls>
            <c:showLegendKey val="0"/>
            <c:showVal val="0"/>
            <c:showCatName val="1"/>
            <c:showSerName val="0"/>
            <c:showPercent val="1"/>
            <c:showBubbleSize val="0"/>
            <c:showLeaderLines val="1"/>
          </c:dLbls>
          <c:cat>
            <c:strRef>
              <c:f>Sheet1!$A$24:$A$30</c:f>
              <c:strCache>
                <c:ptCount val="7"/>
                <c:pt idx="0">
                  <c:v>A</c:v>
                </c:pt>
                <c:pt idx="1">
                  <c:v>B</c:v>
                </c:pt>
                <c:pt idx="2">
                  <c:v>C</c:v>
                </c:pt>
                <c:pt idx="3">
                  <c:v>D</c:v>
                </c:pt>
                <c:pt idx="4">
                  <c:v>F</c:v>
                </c:pt>
                <c:pt idx="5">
                  <c:v>FQ</c:v>
                </c:pt>
                <c:pt idx="6">
                  <c:v>W</c:v>
                </c:pt>
              </c:strCache>
            </c:strRef>
          </c:cat>
          <c:val>
            <c:numRef>
              <c:f>Sheet1!$B$24:$B$30</c:f>
              <c:numCache>
                <c:formatCode>General</c:formatCode>
                <c:ptCount val="7"/>
                <c:pt idx="0">
                  <c:v>3</c:v>
                </c:pt>
                <c:pt idx="1">
                  <c:v>11</c:v>
                </c:pt>
                <c:pt idx="2">
                  <c:v>5</c:v>
                </c:pt>
                <c:pt idx="3">
                  <c:v>9</c:v>
                </c:pt>
                <c:pt idx="4">
                  <c:v>4</c:v>
                </c:pt>
                <c:pt idx="5">
                  <c:v>9</c:v>
                </c:pt>
                <c:pt idx="6">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Grade Distribution</a:t>
            </a:r>
            <a:r>
              <a:rPr lang="en-US" sz="1200" baseline="0"/>
              <a:t> of all Students That Registered </a:t>
            </a:r>
          </a:p>
          <a:p>
            <a:pPr>
              <a:defRPr/>
            </a:pPr>
            <a:r>
              <a:rPr lang="en-US" sz="1200" baseline="0"/>
              <a:t>for Math 110 - Spring 2013</a:t>
            </a:r>
            <a:endParaRPr lang="en-US" sz="1200"/>
          </a:p>
        </c:rich>
      </c:tx>
      <c:overlay val="0"/>
    </c:title>
    <c:autoTitleDeleted val="0"/>
    <c:plotArea>
      <c:layout/>
      <c:pieChart>
        <c:varyColors val="1"/>
        <c:ser>
          <c:idx val="0"/>
          <c:order val="0"/>
          <c:tx>
            <c:strRef>
              <c:f>Sheet1!$E$20</c:f>
              <c:strCache>
                <c:ptCount val="1"/>
                <c:pt idx="0">
                  <c:v>Percent</c:v>
                </c:pt>
              </c:strCache>
            </c:strRef>
          </c:tx>
          <c:dLbls>
            <c:showLegendKey val="0"/>
            <c:showVal val="0"/>
            <c:showCatName val="1"/>
            <c:showSerName val="0"/>
            <c:showPercent val="1"/>
            <c:showBubbleSize val="0"/>
            <c:showLeaderLines val="1"/>
          </c:dLbls>
          <c:cat>
            <c:strRef>
              <c:f>Sheet1!$D$21:$D$35</c:f>
              <c:strCache>
                <c:ptCount val="15"/>
                <c:pt idx="0">
                  <c:v>A</c:v>
                </c:pt>
                <c:pt idx="1">
                  <c:v>A-</c:v>
                </c:pt>
                <c:pt idx="2">
                  <c:v>B+</c:v>
                </c:pt>
                <c:pt idx="3">
                  <c:v>B</c:v>
                </c:pt>
                <c:pt idx="4">
                  <c:v>B-</c:v>
                </c:pt>
                <c:pt idx="5">
                  <c:v>C+</c:v>
                </c:pt>
                <c:pt idx="6">
                  <c:v>C</c:v>
                </c:pt>
                <c:pt idx="7">
                  <c:v>C-</c:v>
                </c:pt>
                <c:pt idx="8">
                  <c:v>D+</c:v>
                </c:pt>
                <c:pt idx="9">
                  <c:v>D</c:v>
                </c:pt>
                <c:pt idx="10">
                  <c:v>F</c:v>
                </c:pt>
                <c:pt idx="11">
                  <c:v>P</c:v>
                </c:pt>
                <c:pt idx="12">
                  <c:v>NP</c:v>
                </c:pt>
                <c:pt idx="13">
                  <c:v>FQ</c:v>
                </c:pt>
                <c:pt idx="14">
                  <c:v>W</c:v>
                </c:pt>
              </c:strCache>
            </c:strRef>
          </c:cat>
          <c:val>
            <c:numRef>
              <c:f>Sheet1!$E$21:$E$35</c:f>
              <c:numCache>
                <c:formatCode>0%</c:formatCode>
                <c:ptCount val="15"/>
                <c:pt idx="0">
                  <c:v>3.875968992248062E-2</c:v>
                </c:pt>
                <c:pt idx="1">
                  <c:v>3.875968992248062E-2</c:v>
                </c:pt>
                <c:pt idx="2">
                  <c:v>3.875968992248062E-2</c:v>
                </c:pt>
                <c:pt idx="3">
                  <c:v>6.9767441860465323E-2</c:v>
                </c:pt>
                <c:pt idx="4">
                  <c:v>0.13178294573643454</c:v>
                </c:pt>
                <c:pt idx="5">
                  <c:v>7.7519379844961434E-2</c:v>
                </c:pt>
                <c:pt idx="6">
                  <c:v>0.15503875968992287</c:v>
                </c:pt>
                <c:pt idx="7">
                  <c:v>5.4263565891472874E-2</c:v>
                </c:pt>
                <c:pt idx="8">
                  <c:v>4.6511627906976931E-2</c:v>
                </c:pt>
                <c:pt idx="9">
                  <c:v>0.11627906976744187</c:v>
                </c:pt>
                <c:pt idx="10">
                  <c:v>6.2015503875969012E-2</c:v>
                </c:pt>
                <c:pt idx="11">
                  <c:v>1.5503875968992303E-2</c:v>
                </c:pt>
                <c:pt idx="12">
                  <c:v>7.7519379844961482E-3</c:v>
                </c:pt>
                <c:pt idx="13">
                  <c:v>4.6511627906976931E-2</c:v>
                </c:pt>
                <c:pt idx="14">
                  <c:v>0.10077519379844962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aseline="0">
                <a:latin typeface="Calibri" pitchFamily="34" charset="0"/>
              </a:defRPr>
            </a:pPr>
            <a:r>
              <a:rPr lang="en-US"/>
              <a:t>Grade Distribution of All Students That Registered for Math 123 - Spring 2013</a:t>
            </a:r>
          </a:p>
        </c:rich>
      </c:tx>
      <c:overlay val="0"/>
    </c:title>
    <c:autoTitleDeleted val="0"/>
    <c:plotArea>
      <c:layout/>
      <c:pieChart>
        <c:varyColors val="1"/>
        <c:ser>
          <c:idx val="0"/>
          <c:order val="0"/>
          <c:tx>
            <c:v>Grade Distribution of all Students That Registered for Math 123 - Spring 2013</c:v>
          </c:tx>
          <c:dLbls>
            <c:showLegendKey val="0"/>
            <c:showVal val="0"/>
            <c:showCatName val="1"/>
            <c:showSerName val="0"/>
            <c:showPercent val="1"/>
            <c:showBubbleSize val="0"/>
            <c:showLeaderLines val="1"/>
          </c:dLbls>
          <c:cat>
            <c:strRef>
              <c:f>Sheet3!$N$2:$N$7</c:f>
              <c:strCache>
                <c:ptCount val="6"/>
                <c:pt idx="0">
                  <c:v>A</c:v>
                </c:pt>
                <c:pt idx="1">
                  <c:v>B</c:v>
                </c:pt>
                <c:pt idx="2">
                  <c:v>C</c:v>
                </c:pt>
                <c:pt idx="3">
                  <c:v>D</c:v>
                </c:pt>
                <c:pt idx="4">
                  <c:v>F</c:v>
                </c:pt>
                <c:pt idx="5">
                  <c:v>W</c:v>
                </c:pt>
              </c:strCache>
            </c:strRef>
          </c:cat>
          <c:val>
            <c:numRef>
              <c:f>Sheet3!$O$2:$O$7</c:f>
              <c:numCache>
                <c:formatCode>General</c:formatCode>
                <c:ptCount val="6"/>
                <c:pt idx="0">
                  <c:v>6</c:v>
                </c:pt>
                <c:pt idx="1">
                  <c:v>3</c:v>
                </c:pt>
                <c:pt idx="2">
                  <c:v>4</c:v>
                </c:pt>
                <c:pt idx="3">
                  <c:v>3</c:v>
                </c:pt>
                <c:pt idx="4">
                  <c:v>1</c:v>
                </c:pt>
                <c:pt idx="5">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Sheet4!$L$2</c:f>
              <c:strCache>
                <c:ptCount val="1"/>
                <c:pt idx="0">
                  <c:v>Passed</c:v>
                </c:pt>
              </c:strCache>
            </c:strRef>
          </c:tx>
          <c:invertIfNegative val="0"/>
          <c:cat>
            <c:strRef>
              <c:f>Sheet4!$M$1:$P$1</c:f>
              <c:strCache>
                <c:ptCount val="4"/>
                <c:pt idx="0">
                  <c:v>Spring - 10</c:v>
                </c:pt>
                <c:pt idx="1">
                  <c:v>Spring - 11</c:v>
                </c:pt>
                <c:pt idx="2">
                  <c:v>Spring - 12</c:v>
                </c:pt>
                <c:pt idx="3">
                  <c:v>Spring - 13</c:v>
                </c:pt>
              </c:strCache>
            </c:strRef>
          </c:cat>
          <c:val>
            <c:numRef>
              <c:f>Sheet4!$M$2:$P$2</c:f>
              <c:numCache>
                <c:formatCode>General</c:formatCode>
                <c:ptCount val="4"/>
                <c:pt idx="0">
                  <c:v>82</c:v>
                </c:pt>
                <c:pt idx="1">
                  <c:v>80</c:v>
                </c:pt>
                <c:pt idx="2">
                  <c:v>80</c:v>
                </c:pt>
                <c:pt idx="3">
                  <c:v>83</c:v>
                </c:pt>
              </c:numCache>
            </c:numRef>
          </c:val>
        </c:ser>
        <c:ser>
          <c:idx val="1"/>
          <c:order val="1"/>
          <c:tx>
            <c:strRef>
              <c:f>Sheet4!$L$3</c:f>
              <c:strCache>
                <c:ptCount val="1"/>
                <c:pt idx="0">
                  <c:v>Failed</c:v>
                </c:pt>
              </c:strCache>
            </c:strRef>
          </c:tx>
          <c:invertIfNegative val="0"/>
          <c:cat>
            <c:strRef>
              <c:f>Sheet4!$M$1:$P$1</c:f>
              <c:strCache>
                <c:ptCount val="4"/>
                <c:pt idx="0">
                  <c:v>Spring - 10</c:v>
                </c:pt>
                <c:pt idx="1">
                  <c:v>Spring - 11</c:v>
                </c:pt>
                <c:pt idx="2">
                  <c:v>Spring - 12</c:v>
                </c:pt>
                <c:pt idx="3">
                  <c:v>Spring - 13</c:v>
                </c:pt>
              </c:strCache>
            </c:strRef>
          </c:cat>
          <c:val>
            <c:numRef>
              <c:f>Sheet4!$M$3:$P$3</c:f>
              <c:numCache>
                <c:formatCode>General</c:formatCode>
                <c:ptCount val="4"/>
                <c:pt idx="0">
                  <c:v>18</c:v>
                </c:pt>
                <c:pt idx="1">
                  <c:v>20</c:v>
                </c:pt>
                <c:pt idx="2">
                  <c:v>20</c:v>
                </c:pt>
                <c:pt idx="3">
                  <c:v>17</c:v>
                </c:pt>
              </c:numCache>
            </c:numRef>
          </c:val>
        </c:ser>
        <c:dLbls>
          <c:showLegendKey val="0"/>
          <c:showVal val="0"/>
          <c:showCatName val="0"/>
          <c:showSerName val="0"/>
          <c:showPercent val="0"/>
          <c:showBubbleSize val="0"/>
        </c:dLbls>
        <c:gapWidth val="150"/>
        <c:axId val="100227328"/>
        <c:axId val="100237312"/>
      </c:barChart>
      <c:catAx>
        <c:axId val="100227328"/>
        <c:scaling>
          <c:orientation val="minMax"/>
        </c:scaling>
        <c:delete val="0"/>
        <c:axPos val="b"/>
        <c:majorTickMark val="out"/>
        <c:minorTickMark val="none"/>
        <c:tickLblPos val="nextTo"/>
        <c:crossAx val="100237312"/>
        <c:crosses val="autoZero"/>
        <c:auto val="1"/>
        <c:lblAlgn val="ctr"/>
        <c:lblOffset val="100"/>
        <c:noMultiLvlLbl val="0"/>
      </c:catAx>
      <c:valAx>
        <c:axId val="100237312"/>
        <c:scaling>
          <c:orientation val="minMax"/>
        </c:scaling>
        <c:delete val="0"/>
        <c:axPos val="l"/>
        <c:majorGridlines/>
        <c:numFmt formatCode="General" sourceLinked="1"/>
        <c:majorTickMark val="out"/>
        <c:minorTickMark val="none"/>
        <c:tickLblPos val="nextTo"/>
        <c:crossAx val="10022732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Sheet4!$A$2</c:f>
              <c:strCache>
                <c:ptCount val="1"/>
                <c:pt idx="0">
                  <c:v>Passed</c:v>
                </c:pt>
              </c:strCache>
            </c:strRef>
          </c:tx>
          <c:invertIfNegative val="0"/>
          <c:cat>
            <c:strRef>
              <c:f>Sheet4!$B$1:$E$1</c:f>
              <c:strCache>
                <c:ptCount val="4"/>
                <c:pt idx="0">
                  <c:v>Spring - 10</c:v>
                </c:pt>
                <c:pt idx="1">
                  <c:v>Spring - 11</c:v>
                </c:pt>
                <c:pt idx="2">
                  <c:v>Spring - 12</c:v>
                </c:pt>
                <c:pt idx="3">
                  <c:v>Spring - 13</c:v>
                </c:pt>
              </c:strCache>
            </c:strRef>
          </c:cat>
          <c:val>
            <c:numRef>
              <c:f>Sheet4!$B$2:$E$2</c:f>
              <c:numCache>
                <c:formatCode>General</c:formatCode>
                <c:ptCount val="4"/>
                <c:pt idx="0">
                  <c:v>43</c:v>
                </c:pt>
                <c:pt idx="1">
                  <c:v>48</c:v>
                </c:pt>
                <c:pt idx="2">
                  <c:v>50</c:v>
                </c:pt>
                <c:pt idx="3">
                  <c:v>47</c:v>
                </c:pt>
              </c:numCache>
            </c:numRef>
          </c:val>
        </c:ser>
        <c:ser>
          <c:idx val="1"/>
          <c:order val="1"/>
          <c:tx>
            <c:strRef>
              <c:f>Sheet4!$A$3</c:f>
              <c:strCache>
                <c:ptCount val="1"/>
                <c:pt idx="0">
                  <c:v>Failed</c:v>
                </c:pt>
              </c:strCache>
            </c:strRef>
          </c:tx>
          <c:invertIfNegative val="0"/>
          <c:cat>
            <c:strRef>
              <c:f>Sheet4!$B$1:$E$1</c:f>
              <c:strCache>
                <c:ptCount val="4"/>
                <c:pt idx="0">
                  <c:v>Spring - 10</c:v>
                </c:pt>
                <c:pt idx="1">
                  <c:v>Spring - 11</c:v>
                </c:pt>
                <c:pt idx="2">
                  <c:v>Spring - 12</c:v>
                </c:pt>
                <c:pt idx="3">
                  <c:v>Spring - 13</c:v>
                </c:pt>
              </c:strCache>
            </c:strRef>
          </c:cat>
          <c:val>
            <c:numRef>
              <c:f>Sheet4!$B$3:$E$3</c:f>
              <c:numCache>
                <c:formatCode>General</c:formatCode>
                <c:ptCount val="4"/>
                <c:pt idx="0">
                  <c:v>9</c:v>
                </c:pt>
                <c:pt idx="1">
                  <c:v>12</c:v>
                </c:pt>
                <c:pt idx="2">
                  <c:v>13</c:v>
                </c:pt>
                <c:pt idx="3">
                  <c:v>9</c:v>
                </c:pt>
              </c:numCache>
            </c:numRef>
          </c:val>
        </c:ser>
        <c:ser>
          <c:idx val="2"/>
          <c:order val="2"/>
          <c:tx>
            <c:strRef>
              <c:f>Sheet4!$A$4</c:f>
              <c:strCache>
                <c:ptCount val="1"/>
                <c:pt idx="0">
                  <c:v>Quit</c:v>
                </c:pt>
              </c:strCache>
            </c:strRef>
          </c:tx>
          <c:invertIfNegative val="0"/>
          <c:cat>
            <c:strRef>
              <c:f>Sheet4!$B$1:$E$1</c:f>
              <c:strCache>
                <c:ptCount val="4"/>
                <c:pt idx="0">
                  <c:v>Spring - 10</c:v>
                </c:pt>
                <c:pt idx="1">
                  <c:v>Spring - 11</c:v>
                </c:pt>
                <c:pt idx="2">
                  <c:v>Spring - 12</c:v>
                </c:pt>
                <c:pt idx="3">
                  <c:v>Spring - 13</c:v>
                </c:pt>
              </c:strCache>
            </c:strRef>
          </c:cat>
          <c:val>
            <c:numRef>
              <c:f>Sheet4!$B$4:$E$4</c:f>
              <c:numCache>
                <c:formatCode>General</c:formatCode>
                <c:ptCount val="4"/>
                <c:pt idx="0">
                  <c:v>19</c:v>
                </c:pt>
                <c:pt idx="1">
                  <c:v>10</c:v>
                </c:pt>
                <c:pt idx="2">
                  <c:v>14</c:v>
                </c:pt>
                <c:pt idx="3">
                  <c:v>28</c:v>
                </c:pt>
              </c:numCache>
            </c:numRef>
          </c:val>
        </c:ser>
        <c:ser>
          <c:idx val="3"/>
          <c:order val="3"/>
          <c:tx>
            <c:strRef>
              <c:f>Sheet4!$A$5</c:f>
              <c:strCache>
                <c:ptCount val="1"/>
                <c:pt idx="0">
                  <c:v>Withdrew</c:v>
                </c:pt>
              </c:strCache>
            </c:strRef>
          </c:tx>
          <c:invertIfNegative val="0"/>
          <c:cat>
            <c:strRef>
              <c:f>Sheet4!$B$1:$E$1</c:f>
              <c:strCache>
                <c:ptCount val="4"/>
                <c:pt idx="0">
                  <c:v>Spring - 10</c:v>
                </c:pt>
                <c:pt idx="1">
                  <c:v>Spring - 11</c:v>
                </c:pt>
                <c:pt idx="2">
                  <c:v>Spring - 12</c:v>
                </c:pt>
                <c:pt idx="3">
                  <c:v>Spring - 13</c:v>
                </c:pt>
              </c:strCache>
            </c:strRef>
          </c:cat>
          <c:val>
            <c:numRef>
              <c:f>Sheet4!$B$5:$E$5</c:f>
              <c:numCache>
                <c:formatCode>General</c:formatCode>
                <c:ptCount val="4"/>
                <c:pt idx="0">
                  <c:v>29</c:v>
                </c:pt>
                <c:pt idx="1">
                  <c:v>30</c:v>
                </c:pt>
                <c:pt idx="2">
                  <c:v>23</c:v>
                </c:pt>
                <c:pt idx="3">
                  <c:v>16</c:v>
                </c:pt>
              </c:numCache>
            </c:numRef>
          </c:val>
        </c:ser>
        <c:dLbls>
          <c:showLegendKey val="0"/>
          <c:showVal val="0"/>
          <c:showCatName val="0"/>
          <c:showSerName val="0"/>
          <c:showPercent val="0"/>
          <c:showBubbleSize val="0"/>
        </c:dLbls>
        <c:gapWidth val="150"/>
        <c:axId val="100272384"/>
        <c:axId val="100274176"/>
      </c:barChart>
      <c:catAx>
        <c:axId val="100272384"/>
        <c:scaling>
          <c:orientation val="minMax"/>
        </c:scaling>
        <c:delete val="0"/>
        <c:axPos val="b"/>
        <c:majorTickMark val="out"/>
        <c:minorTickMark val="none"/>
        <c:tickLblPos val="nextTo"/>
        <c:crossAx val="100274176"/>
        <c:crosses val="autoZero"/>
        <c:auto val="1"/>
        <c:lblAlgn val="ctr"/>
        <c:lblOffset val="100"/>
        <c:noMultiLvlLbl val="0"/>
      </c:catAx>
      <c:valAx>
        <c:axId val="100274176"/>
        <c:scaling>
          <c:orientation val="minMax"/>
        </c:scaling>
        <c:delete val="0"/>
        <c:axPos val="l"/>
        <c:majorGridlines/>
        <c:numFmt formatCode="General" sourceLinked="1"/>
        <c:majorTickMark val="out"/>
        <c:minorTickMark val="none"/>
        <c:tickLblPos val="nextTo"/>
        <c:crossAx val="1002723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291A-24B1-4230-BAEA-6FF9EB7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3441</Words>
  <Characters>19620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sheridanj</dc:creator>
  <cp:lastModifiedBy>toliverk</cp:lastModifiedBy>
  <cp:revision>2</cp:revision>
  <dcterms:created xsi:type="dcterms:W3CDTF">2014-03-28T21:01:00Z</dcterms:created>
  <dcterms:modified xsi:type="dcterms:W3CDTF">2014-03-28T21:01:00Z</dcterms:modified>
</cp:coreProperties>
</file>