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10" w:rsidRPr="00777073" w:rsidRDefault="00077D10">
      <w:pPr>
        <w:rPr>
          <w:rFonts w:ascii="Times New Roman" w:hAnsi="Times New Roman" w:cs="Times New Roman"/>
          <w:b/>
          <w:sz w:val="24"/>
          <w:szCs w:val="24"/>
          <w:u w:val="single"/>
        </w:rPr>
      </w:pPr>
      <w:bookmarkStart w:id="0" w:name="_GoBack"/>
      <w:bookmarkEnd w:id="0"/>
    </w:p>
    <w:p w:rsidR="00077D10" w:rsidRPr="00777073" w:rsidRDefault="00077D10">
      <w:pPr>
        <w:rPr>
          <w:rFonts w:ascii="Times New Roman" w:hAnsi="Times New Roman" w:cs="Times New Roman"/>
          <w:b/>
          <w:sz w:val="24"/>
          <w:szCs w:val="24"/>
          <w:u w:val="single"/>
        </w:rPr>
      </w:pPr>
    </w:p>
    <w:p w:rsidR="00077D10" w:rsidRPr="00777073" w:rsidRDefault="00077D10">
      <w:pPr>
        <w:rPr>
          <w:rFonts w:ascii="Times New Roman" w:hAnsi="Times New Roman" w:cs="Times New Roman"/>
          <w:b/>
          <w:sz w:val="24"/>
          <w:szCs w:val="24"/>
          <w:u w:val="single"/>
        </w:rPr>
      </w:pPr>
    </w:p>
    <w:p w:rsidR="00077D10" w:rsidRPr="00777073" w:rsidRDefault="00077D10">
      <w:pPr>
        <w:rPr>
          <w:rFonts w:ascii="Times New Roman" w:hAnsi="Times New Roman" w:cs="Times New Roman"/>
          <w:b/>
          <w:sz w:val="24"/>
          <w:szCs w:val="24"/>
          <w:u w:val="single"/>
        </w:rPr>
      </w:pPr>
    </w:p>
    <w:p w:rsidR="00077D10" w:rsidRPr="00777073" w:rsidRDefault="00077D10">
      <w:pPr>
        <w:rPr>
          <w:rFonts w:ascii="Times New Roman" w:hAnsi="Times New Roman" w:cs="Times New Roman"/>
          <w:b/>
          <w:sz w:val="24"/>
          <w:szCs w:val="24"/>
          <w:u w:val="single"/>
        </w:rPr>
      </w:pPr>
    </w:p>
    <w:p w:rsidR="00077D10" w:rsidRPr="00777073" w:rsidRDefault="00077D10">
      <w:pPr>
        <w:rPr>
          <w:rFonts w:ascii="Times New Roman" w:hAnsi="Times New Roman" w:cs="Times New Roman"/>
          <w:b/>
          <w:sz w:val="24"/>
          <w:szCs w:val="24"/>
          <w:u w:val="single"/>
        </w:rPr>
      </w:pPr>
    </w:p>
    <w:p w:rsidR="00077D10" w:rsidRPr="00777073" w:rsidRDefault="00077D10" w:rsidP="00077D10">
      <w:pPr>
        <w:jc w:val="center"/>
        <w:rPr>
          <w:rFonts w:ascii="Times New Roman" w:hAnsi="Times New Roman" w:cs="Times New Roman"/>
          <w:sz w:val="24"/>
          <w:szCs w:val="24"/>
        </w:rPr>
      </w:pPr>
      <w:r w:rsidRPr="00777073">
        <w:rPr>
          <w:rFonts w:ascii="Times New Roman" w:hAnsi="Times New Roman" w:cs="Times New Roman"/>
          <w:sz w:val="24"/>
          <w:szCs w:val="24"/>
        </w:rPr>
        <w:t>Trinity Washington University College of Arts &amp; Sciences</w:t>
      </w:r>
    </w:p>
    <w:p w:rsidR="00077D10" w:rsidRPr="00777073" w:rsidRDefault="00077D10" w:rsidP="00077D10">
      <w:pPr>
        <w:jc w:val="center"/>
        <w:rPr>
          <w:rFonts w:ascii="Times New Roman" w:hAnsi="Times New Roman" w:cs="Times New Roman"/>
          <w:sz w:val="24"/>
          <w:szCs w:val="24"/>
        </w:rPr>
      </w:pPr>
      <w:r w:rsidRPr="00777073">
        <w:rPr>
          <w:rFonts w:ascii="Times New Roman" w:hAnsi="Times New Roman" w:cs="Times New Roman"/>
          <w:sz w:val="24"/>
          <w:szCs w:val="24"/>
        </w:rPr>
        <w:t>Academic Advising Report</w:t>
      </w:r>
    </w:p>
    <w:p w:rsidR="00077D10" w:rsidRPr="00777073" w:rsidRDefault="005D1491" w:rsidP="00077D10">
      <w:pPr>
        <w:jc w:val="center"/>
        <w:rPr>
          <w:rFonts w:ascii="Times New Roman" w:hAnsi="Times New Roman" w:cs="Times New Roman"/>
          <w:sz w:val="24"/>
          <w:szCs w:val="24"/>
        </w:rPr>
      </w:pPr>
      <w:r w:rsidRPr="00777073">
        <w:rPr>
          <w:rFonts w:ascii="Times New Roman" w:hAnsi="Times New Roman" w:cs="Times New Roman"/>
          <w:sz w:val="24"/>
          <w:szCs w:val="24"/>
        </w:rPr>
        <w:t>Fall 2012</w:t>
      </w:r>
      <w:r w:rsidR="00676179" w:rsidRPr="00777073">
        <w:rPr>
          <w:rFonts w:ascii="Times New Roman" w:hAnsi="Times New Roman" w:cs="Times New Roman"/>
          <w:sz w:val="24"/>
          <w:szCs w:val="24"/>
        </w:rPr>
        <w:t>-Spring 2013</w:t>
      </w:r>
    </w:p>
    <w:p w:rsidR="00077D10" w:rsidRPr="00777073" w:rsidRDefault="00077D10" w:rsidP="00077D10">
      <w:pPr>
        <w:jc w:val="center"/>
        <w:rPr>
          <w:rFonts w:ascii="Times New Roman" w:hAnsi="Times New Roman" w:cs="Times New Roman"/>
          <w:sz w:val="24"/>
          <w:szCs w:val="24"/>
        </w:rPr>
      </w:pPr>
    </w:p>
    <w:p w:rsidR="00077D10" w:rsidRPr="00777073" w:rsidRDefault="00077D10" w:rsidP="00077D10">
      <w:pPr>
        <w:jc w:val="center"/>
        <w:rPr>
          <w:rFonts w:ascii="Times New Roman" w:hAnsi="Times New Roman" w:cs="Times New Roman"/>
          <w:sz w:val="24"/>
          <w:szCs w:val="24"/>
        </w:rPr>
      </w:pPr>
    </w:p>
    <w:p w:rsidR="00077D10" w:rsidRPr="00777073" w:rsidRDefault="00077D10" w:rsidP="00077D10">
      <w:pPr>
        <w:jc w:val="center"/>
        <w:rPr>
          <w:rFonts w:ascii="Times New Roman" w:hAnsi="Times New Roman" w:cs="Times New Roman"/>
          <w:sz w:val="24"/>
          <w:szCs w:val="24"/>
        </w:rPr>
      </w:pPr>
      <w:r w:rsidRPr="00777073">
        <w:rPr>
          <w:rFonts w:ascii="Times New Roman" w:hAnsi="Times New Roman" w:cs="Times New Roman"/>
          <w:sz w:val="24"/>
          <w:szCs w:val="24"/>
        </w:rPr>
        <w:t>By</w:t>
      </w:r>
    </w:p>
    <w:p w:rsidR="002917A3" w:rsidRPr="00777073" w:rsidRDefault="002917A3" w:rsidP="002917A3">
      <w:pPr>
        <w:jc w:val="center"/>
        <w:rPr>
          <w:rFonts w:ascii="Times New Roman" w:hAnsi="Times New Roman" w:cs="Times New Roman"/>
          <w:sz w:val="24"/>
          <w:szCs w:val="24"/>
        </w:rPr>
      </w:pPr>
      <w:r w:rsidRPr="00777073">
        <w:rPr>
          <w:rFonts w:ascii="Times New Roman" w:hAnsi="Times New Roman" w:cs="Times New Roman"/>
          <w:sz w:val="24"/>
          <w:szCs w:val="24"/>
        </w:rPr>
        <w:t>Carlota Ocampo, Ph.D</w:t>
      </w:r>
    </w:p>
    <w:p w:rsidR="005D1491" w:rsidRPr="00777073" w:rsidRDefault="00F11F34" w:rsidP="00077D10">
      <w:pPr>
        <w:jc w:val="center"/>
        <w:rPr>
          <w:rFonts w:ascii="Times New Roman" w:hAnsi="Times New Roman" w:cs="Times New Roman"/>
          <w:sz w:val="24"/>
          <w:szCs w:val="24"/>
        </w:rPr>
      </w:pPr>
      <w:r w:rsidRPr="00777073">
        <w:rPr>
          <w:rFonts w:ascii="Times New Roman" w:hAnsi="Times New Roman" w:cs="Times New Roman"/>
          <w:sz w:val="24"/>
          <w:szCs w:val="24"/>
        </w:rPr>
        <w:t xml:space="preserve">Tiara Lowe, </w:t>
      </w:r>
      <w:r w:rsidR="005F028A" w:rsidRPr="00777073">
        <w:rPr>
          <w:rFonts w:ascii="Times New Roman" w:hAnsi="Times New Roman" w:cs="Times New Roman"/>
          <w:sz w:val="24"/>
          <w:szCs w:val="24"/>
        </w:rPr>
        <w:t>M.Ed.</w:t>
      </w:r>
    </w:p>
    <w:p w:rsidR="00676179" w:rsidRPr="00777073" w:rsidRDefault="00676179" w:rsidP="00077D10">
      <w:pPr>
        <w:jc w:val="center"/>
        <w:rPr>
          <w:rFonts w:ascii="Times New Roman" w:hAnsi="Times New Roman" w:cs="Times New Roman"/>
          <w:sz w:val="24"/>
          <w:szCs w:val="24"/>
        </w:rPr>
      </w:pPr>
      <w:r w:rsidRPr="00777073">
        <w:rPr>
          <w:rFonts w:ascii="Times New Roman" w:hAnsi="Times New Roman" w:cs="Times New Roman"/>
          <w:sz w:val="24"/>
          <w:szCs w:val="24"/>
        </w:rPr>
        <w:t>Eva Morgan, M.Ed.</w:t>
      </w:r>
    </w:p>
    <w:p w:rsidR="00922483" w:rsidRPr="00777073" w:rsidRDefault="00301848" w:rsidP="00922483">
      <w:pPr>
        <w:jc w:val="center"/>
        <w:rPr>
          <w:rFonts w:ascii="Times New Roman" w:hAnsi="Times New Roman" w:cs="Times New Roman"/>
          <w:sz w:val="24"/>
          <w:szCs w:val="24"/>
        </w:rPr>
      </w:pPr>
      <w:r w:rsidRPr="00777073">
        <w:rPr>
          <w:rFonts w:ascii="Times New Roman" w:hAnsi="Times New Roman" w:cs="Times New Roman"/>
          <w:sz w:val="24"/>
          <w:szCs w:val="24"/>
        </w:rPr>
        <w:t>(</w:t>
      </w:r>
      <w:r w:rsidR="00922483" w:rsidRPr="00777073">
        <w:rPr>
          <w:rFonts w:ascii="Times New Roman" w:hAnsi="Times New Roman" w:cs="Times New Roman"/>
          <w:sz w:val="24"/>
          <w:szCs w:val="24"/>
        </w:rPr>
        <w:t>Stephanie McKissic, Ed.D, also contributed to this report)</w:t>
      </w:r>
    </w:p>
    <w:p w:rsidR="00301848" w:rsidRPr="00777073" w:rsidRDefault="00301848" w:rsidP="00077D10">
      <w:pPr>
        <w:jc w:val="center"/>
        <w:rPr>
          <w:rFonts w:ascii="Times New Roman" w:hAnsi="Times New Roman" w:cs="Times New Roman"/>
          <w:sz w:val="24"/>
          <w:szCs w:val="24"/>
        </w:rPr>
      </w:pPr>
    </w:p>
    <w:p w:rsidR="005D1491" w:rsidRPr="00777073" w:rsidRDefault="005D1491" w:rsidP="00077D10">
      <w:pPr>
        <w:jc w:val="center"/>
        <w:rPr>
          <w:rFonts w:ascii="Times New Roman" w:hAnsi="Times New Roman" w:cs="Times New Roman"/>
          <w:sz w:val="24"/>
          <w:szCs w:val="24"/>
        </w:rPr>
      </w:pPr>
    </w:p>
    <w:p w:rsidR="00077D10" w:rsidRPr="00777073" w:rsidRDefault="00077D10" w:rsidP="00077D10">
      <w:pPr>
        <w:jc w:val="center"/>
        <w:rPr>
          <w:rFonts w:ascii="Times New Roman" w:hAnsi="Times New Roman" w:cs="Times New Roman"/>
          <w:sz w:val="24"/>
          <w:szCs w:val="24"/>
        </w:rPr>
      </w:pPr>
    </w:p>
    <w:p w:rsidR="00077D10" w:rsidRPr="00777073" w:rsidRDefault="00077D10" w:rsidP="00077D10">
      <w:pPr>
        <w:jc w:val="center"/>
        <w:rPr>
          <w:rFonts w:ascii="Times New Roman" w:hAnsi="Times New Roman" w:cs="Times New Roman"/>
          <w:b/>
          <w:sz w:val="24"/>
          <w:szCs w:val="24"/>
        </w:rPr>
      </w:pPr>
    </w:p>
    <w:p w:rsidR="00077D10" w:rsidRPr="00777073" w:rsidRDefault="00077D10" w:rsidP="00077D10">
      <w:pPr>
        <w:jc w:val="center"/>
        <w:rPr>
          <w:rFonts w:ascii="Times New Roman" w:hAnsi="Times New Roman" w:cs="Times New Roman"/>
          <w:b/>
          <w:sz w:val="24"/>
          <w:szCs w:val="24"/>
        </w:rPr>
      </w:pPr>
    </w:p>
    <w:p w:rsidR="00077D10" w:rsidRPr="00777073" w:rsidRDefault="00077D10">
      <w:pPr>
        <w:rPr>
          <w:rFonts w:ascii="Times New Roman" w:hAnsi="Times New Roman" w:cs="Times New Roman"/>
          <w:b/>
          <w:sz w:val="24"/>
          <w:szCs w:val="24"/>
          <w:u w:val="single"/>
        </w:rPr>
      </w:pPr>
    </w:p>
    <w:p w:rsidR="00077D10" w:rsidRPr="00777073" w:rsidRDefault="00077D10">
      <w:pPr>
        <w:rPr>
          <w:rFonts w:ascii="Times New Roman" w:hAnsi="Times New Roman" w:cs="Times New Roman"/>
          <w:b/>
          <w:sz w:val="24"/>
          <w:szCs w:val="24"/>
          <w:u w:val="single"/>
        </w:rPr>
      </w:pPr>
    </w:p>
    <w:p w:rsidR="00077D10" w:rsidRPr="00777073" w:rsidRDefault="00077D10">
      <w:pPr>
        <w:rPr>
          <w:rFonts w:ascii="Times New Roman" w:hAnsi="Times New Roman" w:cs="Times New Roman"/>
          <w:b/>
          <w:sz w:val="24"/>
          <w:szCs w:val="24"/>
          <w:u w:val="single"/>
        </w:rPr>
      </w:pPr>
    </w:p>
    <w:p w:rsidR="00077D10" w:rsidRPr="00777073" w:rsidRDefault="00077D10">
      <w:pPr>
        <w:rPr>
          <w:rFonts w:ascii="Times New Roman" w:hAnsi="Times New Roman" w:cs="Times New Roman"/>
          <w:b/>
          <w:sz w:val="24"/>
          <w:szCs w:val="24"/>
          <w:u w:val="single"/>
        </w:rPr>
      </w:pPr>
    </w:p>
    <w:p w:rsidR="00455DD8" w:rsidRPr="00777073" w:rsidRDefault="00455DD8" w:rsidP="00DB52F0">
      <w:pPr>
        <w:jc w:val="center"/>
        <w:rPr>
          <w:rFonts w:ascii="Times New Roman" w:hAnsi="Times New Roman" w:cs="Times New Roman"/>
          <w:sz w:val="24"/>
          <w:szCs w:val="24"/>
        </w:rPr>
      </w:pPr>
      <w:r w:rsidRPr="00777073">
        <w:rPr>
          <w:rFonts w:ascii="Times New Roman" w:hAnsi="Times New Roman" w:cs="Times New Roman"/>
          <w:sz w:val="24"/>
          <w:szCs w:val="24"/>
        </w:rPr>
        <w:lastRenderedPageBreak/>
        <w:t>EXECUTIVE SUMMARY</w:t>
      </w:r>
    </w:p>
    <w:p w:rsidR="00DB52F0" w:rsidRPr="00777073" w:rsidRDefault="00DB52F0" w:rsidP="00455DD8">
      <w:pPr>
        <w:rPr>
          <w:rFonts w:ascii="Times New Roman" w:hAnsi="Times New Roman" w:cs="Times New Roman"/>
          <w:sz w:val="24"/>
          <w:szCs w:val="24"/>
          <w:u w:val="single"/>
        </w:rPr>
      </w:pPr>
    </w:p>
    <w:p w:rsidR="00455DD8" w:rsidRPr="00777073" w:rsidRDefault="00812197" w:rsidP="00455DD8">
      <w:pPr>
        <w:rPr>
          <w:rFonts w:ascii="Times New Roman" w:hAnsi="Times New Roman" w:cs="Times New Roman"/>
          <w:sz w:val="24"/>
          <w:szCs w:val="24"/>
          <w:u w:val="single"/>
        </w:rPr>
      </w:pPr>
      <w:r w:rsidRPr="00777073">
        <w:rPr>
          <w:rFonts w:ascii="Times New Roman" w:hAnsi="Times New Roman" w:cs="Times New Roman"/>
          <w:sz w:val="24"/>
          <w:szCs w:val="24"/>
          <w:u w:val="single"/>
        </w:rPr>
        <w:t>Overview:  Our Advising Model</w:t>
      </w:r>
    </w:p>
    <w:p w:rsidR="00812197" w:rsidRPr="00777073" w:rsidRDefault="00455DD8" w:rsidP="00455DD8">
      <w:p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sz w:val="24"/>
          <w:szCs w:val="24"/>
        </w:rPr>
        <w:t xml:space="preserve">Academic advising </w:t>
      </w:r>
      <w:r w:rsidR="00812197" w:rsidRPr="00777073">
        <w:rPr>
          <w:rFonts w:ascii="Times New Roman" w:hAnsi="Times New Roman" w:cs="Times New Roman"/>
          <w:sz w:val="24"/>
          <w:szCs w:val="24"/>
        </w:rPr>
        <w:t>at</w:t>
      </w:r>
      <w:r w:rsidR="006D7DCA" w:rsidRPr="00777073">
        <w:rPr>
          <w:rFonts w:ascii="Times New Roman" w:hAnsi="Times New Roman" w:cs="Times New Roman"/>
          <w:sz w:val="24"/>
          <w:szCs w:val="24"/>
        </w:rPr>
        <w:t xml:space="preserve"> the</w:t>
      </w:r>
      <w:r w:rsidR="00812197" w:rsidRPr="00777073">
        <w:rPr>
          <w:rFonts w:ascii="Times New Roman" w:hAnsi="Times New Roman" w:cs="Times New Roman"/>
          <w:sz w:val="24"/>
          <w:szCs w:val="24"/>
        </w:rPr>
        <w:t xml:space="preserve"> </w:t>
      </w:r>
      <w:r w:rsidRPr="00777073">
        <w:rPr>
          <w:rFonts w:ascii="Times New Roman" w:hAnsi="Times New Roman" w:cs="Times New Roman"/>
          <w:sz w:val="24"/>
          <w:szCs w:val="24"/>
        </w:rPr>
        <w:t xml:space="preserve">Trinity </w:t>
      </w:r>
      <w:r w:rsidR="00F74384" w:rsidRPr="00777073">
        <w:rPr>
          <w:rFonts w:ascii="Times New Roman" w:hAnsi="Times New Roman" w:cs="Times New Roman"/>
          <w:sz w:val="24"/>
          <w:szCs w:val="24"/>
        </w:rPr>
        <w:t>Washington University</w:t>
      </w:r>
      <w:r w:rsidRPr="00777073">
        <w:rPr>
          <w:rFonts w:ascii="Times New Roman" w:hAnsi="Times New Roman" w:cs="Times New Roman"/>
          <w:sz w:val="24"/>
          <w:szCs w:val="24"/>
        </w:rPr>
        <w:t xml:space="preserve"> College of Arts and Sciences</w:t>
      </w:r>
      <w:r w:rsidR="00F74384" w:rsidRPr="00777073">
        <w:rPr>
          <w:rFonts w:ascii="Times New Roman" w:hAnsi="Times New Roman" w:cs="Times New Roman"/>
          <w:sz w:val="24"/>
          <w:szCs w:val="24"/>
        </w:rPr>
        <w:t xml:space="preserve"> (CAS)</w:t>
      </w:r>
      <w:r w:rsidR="00812197" w:rsidRPr="00777073">
        <w:rPr>
          <w:rFonts w:ascii="Times New Roman" w:hAnsi="Times New Roman" w:cs="Times New Roman"/>
          <w:sz w:val="24"/>
          <w:szCs w:val="24"/>
        </w:rPr>
        <w:t xml:space="preserve"> </w:t>
      </w:r>
      <w:r w:rsidRPr="00777073">
        <w:rPr>
          <w:rFonts w:ascii="Times New Roman" w:hAnsi="Times New Roman" w:cs="Times New Roman"/>
          <w:sz w:val="24"/>
          <w:szCs w:val="24"/>
        </w:rPr>
        <w:t>deliver</w:t>
      </w:r>
      <w:r w:rsidR="00812197" w:rsidRPr="00777073">
        <w:rPr>
          <w:rFonts w:ascii="Times New Roman" w:hAnsi="Times New Roman" w:cs="Times New Roman"/>
          <w:sz w:val="24"/>
          <w:szCs w:val="24"/>
        </w:rPr>
        <w:t>s</w:t>
      </w:r>
      <w:r w:rsidRPr="00777073">
        <w:rPr>
          <w:rFonts w:ascii="Times New Roman" w:hAnsi="Times New Roman" w:cs="Times New Roman"/>
          <w:sz w:val="24"/>
          <w:szCs w:val="24"/>
        </w:rPr>
        <w:t xml:space="preserve"> </w:t>
      </w:r>
      <w:r w:rsidR="00922483" w:rsidRPr="00777073">
        <w:rPr>
          <w:rFonts w:ascii="Times New Roman" w:hAnsi="Times New Roman" w:cs="Times New Roman"/>
          <w:sz w:val="24"/>
          <w:szCs w:val="24"/>
        </w:rPr>
        <w:t xml:space="preserve">proactive, comprehensive </w:t>
      </w:r>
      <w:r w:rsidR="00676179" w:rsidRPr="00777073">
        <w:rPr>
          <w:rFonts w:ascii="Times New Roman" w:hAnsi="Times New Roman" w:cs="Times New Roman"/>
          <w:sz w:val="24"/>
          <w:szCs w:val="24"/>
        </w:rPr>
        <w:t xml:space="preserve">advising </w:t>
      </w:r>
      <w:r w:rsidRPr="00777073">
        <w:rPr>
          <w:rFonts w:ascii="Times New Roman" w:hAnsi="Times New Roman" w:cs="Times New Roman"/>
          <w:sz w:val="24"/>
          <w:szCs w:val="24"/>
        </w:rPr>
        <w:t xml:space="preserve">services </w:t>
      </w:r>
      <w:r w:rsidR="00F74384" w:rsidRPr="00777073">
        <w:rPr>
          <w:rFonts w:ascii="Times New Roman" w:hAnsi="Times New Roman" w:cs="Times New Roman"/>
          <w:sz w:val="24"/>
          <w:szCs w:val="24"/>
        </w:rPr>
        <w:t>to</w:t>
      </w:r>
      <w:r w:rsidRPr="00777073">
        <w:rPr>
          <w:rFonts w:ascii="Times New Roman" w:hAnsi="Times New Roman" w:cs="Times New Roman"/>
          <w:sz w:val="24"/>
          <w:szCs w:val="24"/>
        </w:rPr>
        <w:t xml:space="preserve"> </w:t>
      </w:r>
      <w:r w:rsidR="00812197" w:rsidRPr="00777073">
        <w:rPr>
          <w:rFonts w:ascii="Times New Roman" w:hAnsi="Times New Roman" w:cs="Times New Roman"/>
          <w:sz w:val="24"/>
          <w:szCs w:val="24"/>
        </w:rPr>
        <w:t xml:space="preserve">all </w:t>
      </w:r>
      <w:r w:rsidRPr="00777073">
        <w:rPr>
          <w:rFonts w:ascii="Times New Roman" w:hAnsi="Times New Roman" w:cs="Times New Roman"/>
          <w:sz w:val="24"/>
          <w:szCs w:val="24"/>
        </w:rPr>
        <w:t>students enrolled in Trinity’s historic undergraduate women’s college</w:t>
      </w:r>
      <w:r w:rsidR="00F74384" w:rsidRPr="00777073">
        <w:rPr>
          <w:rFonts w:ascii="Times New Roman" w:hAnsi="Times New Roman" w:cs="Times New Roman"/>
          <w:sz w:val="24"/>
          <w:szCs w:val="24"/>
        </w:rPr>
        <w:t xml:space="preserve">.  </w:t>
      </w:r>
      <w:r w:rsidRPr="00777073">
        <w:rPr>
          <w:rFonts w:ascii="Times New Roman" w:hAnsi="Times New Roman" w:cs="Times New Roman"/>
          <w:sz w:val="24"/>
          <w:szCs w:val="24"/>
        </w:rPr>
        <w:t xml:space="preserve"> </w:t>
      </w:r>
      <w:r w:rsidR="00F74384" w:rsidRPr="00777073">
        <w:rPr>
          <w:rFonts w:ascii="Times New Roman" w:hAnsi="Times New Roman" w:cs="Times New Roman"/>
          <w:sz w:val="24"/>
          <w:szCs w:val="24"/>
        </w:rPr>
        <w:t xml:space="preserve">The </w:t>
      </w:r>
      <w:r w:rsidR="00812197" w:rsidRPr="00777073">
        <w:rPr>
          <w:rFonts w:ascii="Times New Roman" w:hAnsi="Times New Roman" w:cs="Times New Roman"/>
          <w:sz w:val="24"/>
          <w:szCs w:val="24"/>
        </w:rPr>
        <w:t>overall</w:t>
      </w:r>
      <w:r w:rsidR="00F74384" w:rsidRPr="00777073">
        <w:rPr>
          <w:rFonts w:ascii="Times New Roman" w:hAnsi="Times New Roman" w:cs="Times New Roman"/>
          <w:sz w:val="24"/>
          <w:szCs w:val="24"/>
        </w:rPr>
        <w:t xml:space="preserve"> goal of the office of advising is </w:t>
      </w:r>
      <w:r w:rsidR="00812197" w:rsidRPr="00777073">
        <w:rPr>
          <w:rFonts w:ascii="Times New Roman" w:hAnsi="Times New Roman" w:cs="Times New Roman"/>
          <w:sz w:val="24"/>
          <w:szCs w:val="24"/>
        </w:rPr>
        <w:t xml:space="preserve">student persistence, </w:t>
      </w:r>
      <w:r w:rsidRPr="00777073">
        <w:rPr>
          <w:rFonts w:ascii="Times New Roman" w:hAnsi="Times New Roman" w:cs="Times New Roman"/>
          <w:sz w:val="24"/>
          <w:szCs w:val="24"/>
        </w:rPr>
        <w:t>retention</w:t>
      </w:r>
      <w:r w:rsidR="006D7DCA" w:rsidRPr="00777073">
        <w:rPr>
          <w:rFonts w:ascii="Times New Roman" w:hAnsi="Times New Roman" w:cs="Times New Roman"/>
          <w:sz w:val="24"/>
          <w:szCs w:val="24"/>
        </w:rPr>
        <w:t xml:space="preserve">, and </w:t>
      </w:r>
      <w:r w:rsidR="00812197" w:rsidRPr="00777073">
        <w:rPr>
          <w:rFonts w:ascii="Times New Roman" w:hAnsi="Times New Roman" w:cs="Times New Roman"/>
          <w:sz w:val="24"/>
          <w:szCs w:val="24"/>
        </w:rPr>
        <w:t>academic excellence</w:t>
      </w:r>
      <w:r w:rsidRPr="00777073">
        <w:rPr>
          <w:rFonts w:ascii="Times New Roman" w:hAnsi="Times New Roman" w:cs="Times New Roman"/>
          <w:sz w:val="24"/>
          <w:szCs w:val="24"/>
        </w:rPr>
        <w:t xml:space="preserve"> from the first year through graduation.</w:t>
      </w:r>
      <w:r w:rsidR="00DB52F0" w:rsidRPr="00777073">
        <w:rPr>
          <w:rFonts w:ascii="Times New Roman" w:hAnsi="Times New Roman" w:cs="Times New Roman"/>
          <w:sz w:val="24"/>
          <w:szCs w:val="24"/>
        </w:rPr>
        <w:t xml:space="preserve">  </w:t>
      </w:r>
      <w:r w:rsidR="00812197" w:rsidRPr="00777073">
        <w:rPr>
          <w:rFonts w:ascii="Times New Roman" w:hAnsi="Times New Roman" w:cs="Times New Roman"/>
          <w:sz w:val="24"/>
          <w:szCs w:val="24"/>
        </w:rPr>
        <w:t>During the Fall 201</w:t>
      </w:r>
      <w:r w:rsidR="00676179" w:rsidRPr="00777073">
        <w:rPr>
          <w:rFonts w:ascii="Times New Roman" w:hAnsi="Times New Roman" w:cs="Times New Roman"/>
          <w:sz w:val="24"/>
          <w:szCs w:val="24"/>
        </w:rPr>
        <w:t>2</w:t>
      </w:r>
      <w:r w:rsidR="00812197" w:rsidRPr="00777073">
        <w:rPr>
          <w:rFonts w:ascii="Times New Roman" w:hAnsi="Times New Roman" w:cs="Times New Roman"/>
          <w:sz w:val="24"/>
          <w:szCs w:val="24"/>
        </w:rPr>
        <w:t xml:space="preserve">-Spring 2013 academic year, this model evolved further as </w:t>
      </w:r>
      <w:r w:rsidR="006D7DCA" w:rsidRPr="00777073">
        <w:rPr>
          <w:rFonts w:ascii="Times New Roman" w:hAnsi="Times New Roman" w:cs="Times New Roman"/>
          <w:sz w:val="24"/>
          <w:szCs w:val="24"/>
        </w:rPr>
        <w:t>advising</w:t>
      </w:r>
      <w:r w:rsidR="00812197" w:rsidRPr="00777073">
        <w:rPr>
          <w:rFonts w:ascii="Times New Roman" w:hAnsi="Times New Roman" w:cs="Times New Roman"/>
          <w:sz w:val="24"/>
          <w:szCs w:val="24"/>
        </w:rPr>
        <w:t xml:space="preserve"> </w:t>
      </w:r>
      <w:r w:rsidR="00676179" w:rsidRPr="00777073">
        <w:rPr>
          <w:rFonts w:ascii="Times New Roman" w:hAnsi="Times New Roman" w:cs="Times New Roman"/>
          <w:sz w:val="24"/>
          <w:szCs w:val="24"/>
        </w:rPr>
        <w:t>developed</w:t>
      </w:r>
      <w:r w:rsidR="00812197" w:rsidRPr="00777073">
        <w:rPr>
          <w:rFonts w:ascii="Times New Roman" w:hAnsi="Times New Roman" w:cs="Times New Roman"/>
          <w:sz w:val="24"/>
          <w:szCs w:val="24"/>
        </w:rPr>
        <w:t xml:space="preserve"> a case-management</w:t>
      </w:r>
      <w:r w:rsidR="00922483" w:rsidRPr="00777073">
        <w:rPr>
          <w:rFonts w:ascii="Times New Roman" w:hAnsi="Times New Roman" w:cs="Times New Roman"/>
          <w:sz w:val="24"/>
          <w:szCs w:val="24"/>
        </w:rPr>
        <w:t>/wraparound</w:t>
      </w:r>
      <w:r w:rsidR="00812197" w:rsidRPr="00777073">
        <w:rPr>
          <w:rFonts w:ascii="Times New Roman" w:hAnsi="Times New Roman" w:cs="Times New Roman"/>
          <w:sz w:val="24"/>
          <w:szCs w:val="24"/>
        </w:rPr>
        <w:t xml:space="preserve"> approach to </w:t>
      </w:r>
      <w:r w:rsidR="00922483" w:rsidRPr="00777073">
        <w:rPr>
          <w:rFonts w:ascii="Times New Roman" w:hAnsi="Times New Roman" w:cs="Times New Roman"/>
          <w:sz w:val="24"/>
          <w:szCs w:val="24"/>
        </w:rPr>
        <w:t>advising services</w:t>
      </w:r>
      <w:r w:rsidR="00812197" w:rsidRPr="00777073">
        <w:rPr>
          <w:rFonts w:ascii="Times New Roman" w:hAnsi="Times New Roman" w:cs="Times New Roman"/>
          <w:sz w:val="24"/>
          <w:szCs w:val="24"/>
        </w:rPr>
        <w:t>.</w:t>
      </w:r>
    </w:p>
    <w:p w:rsidR="00455DD8" w:rsidRPr="00777073" w:rsidRDefault="00455DD8" w:rsidP="00455DD8">
      <w:pPr>
        <w:shd w:val="clear" w:color="auto" w:fill="FFFFFF"/>
        <w:spacing w:before="100" w:beforeAutospacing="1" w:after="270"/>
        <w:rPr>
          <w:rFonts w:ascii="Times New Roman" w:hAnsi="Times New Roman" w:cs="Times New Roman"/>
          <w:sz w:val="24"/>
          <w:szCs w:val="24"/>
          <w:u w:val="single"/>
        </w:rPr>
      </w:pPr>
      <w:r w:rsidRPr="00777073">
        <w:rPr>
          <w:rFonts w:ascii="Times New Roman" w:hAnsi="Times New Roman" w:cs="Times New Roman"/>
          <w:sz w:val="24"/>
          <w:szCs w:val="24"/>
          <w:u w:val="single"/>
        </w:rPr>
        <w:t xml:space="preserve">Continuing </w:t>
      </w:r>
      <w:r w:rsidR="00F74384" w:rsidRPr="00777073">
        <w:rPr>
          <w:rFonts w:ascii="Times New Roman" w:hAnsi="Times New Roman" w:cs="Times New Roman"/>
          <w:sz w:val="24"/>
          <w:szCs w:val="24"/>
          <w:u w:val="single"/>
        </w:rPr>
        <w:t xml:space="preserve">and Enhanced </w:t>
      </w:r>
      <w:r w:rsidRPr="00777073">
        <w:rPr>
          <w:rFonts w:ascii="Times New Roman" w:hAnsi="Times New Roman" w:cs="Times New Roman"/>
          <w:sz w:val="24"/>
          <w:szCs w:val="24"/>
          <w:u w:val="single"/>
        </w:rPr>
        <w:t xml:space="preserve">Programs in the Fall </w:t>
      </w:r>
      <w:r w:rsidR="005D1491" w:rsidRPr="00777073">
        <w:rPr>
          <w:rFonts w:ascii="Times New Roman" w:hAnsi="Times New Roman" w:cs="Times New Roman"/>
          <w:sz w:val="24"/>
          <w:szCs w:val="24"/>
          <w:u w:val="single"/>
        </w:rPr>
        <w:t>2012</w:t>
      </w:r>
      <w:r w:rsidR="00676179" w:rsidRPr="00777073">
        <w:rPr>
          <w:rFonts w:ascii="Times New Roman" w:hAnsi="Times New Roman" w:cs="Times New Roman"/>
          <w:sz w:val="24"/>
          <w:szCs w:val="24"/>
          <w:u w:val="single"/>
        </w:rPr>
        <w:t>-Spring 2103</w:t>
      </w:r>
      <w:r w:rsidR="005D1491" w:rsidRPr="00777073">
        <w:rPr>
          <w:rFonts w:ascii="Times New Roman" w:hAnsi="Times New Roman" w:cs="Times New Roman"/>
          <w:sz w:val="24"/>
          <w:szCs w:val="24"/>
          <w:u w:val="single"/>
        </w:rPr>
        <w:t xml:space="preserve"> Semester</w:t>
      </w:r>
    </w:p>
    <w:p w:rsidR="00676179" w:rsidRPr="00777073" w:rsidRDefault="001529DA" w:rsidP="00455DD8">
      <w:p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sz w:val="24"/>
          <w:szCs w:val="24"/>
        </w:rPr>
        <w:t xml:space="preserve">During the past </w:t>
      </w:r>
      <w:r w:rsidR="00676179" w:rsidRPr="00777073">
        <w:rPr>
          <w:rFonts w:ascii="Times New Roman" w:hAnsi="Times New Roman" w:cs="Times New Roman"/>
          <w:sz w:val="24"/>
          <w:szCs w:val="24"/>
        </w:rPr>
        <w:t>academic year</w:t>
      </w:r>
      <w:r w:rsidRPr="00777073">
        <w:rPr>
          <w:rFonts w:ascii="Times New Roman" w:hAnsi="Times New Roman" w:cs="Times New Roman"/>
          <w:sz w:val="24"/>
          <w:szCs w:val="24"/>
        </w:rPr>
        <w:t xml:space="preserve"> </w:t>
      </w:r>
      <w:r w:rsidR="00812197" w:rsidRPr="00777073">
        <w:rPr>
          <w:rFonts w:ascii="Times New Roman" w:hAnsi="Times New Roman" w:cs="Times New Roman"/>
          <w:sz w:val="24"/>
          <w:szCs w:val="24"/>
        </w:rPr>
        <w:t>the office of advising focused on several new and continued initiatives</w:t>
      </w:r>
      <w:r w:rsidR="004D744D" w:rsidRPr="00777073">
        <w:rPr>
          <w:rFonts w:ascii="Times New Roman" w:hAnsi="Times New Roman" w:cs="Times New Roman"/>
          <w:sz w:val="24"/>
          <w:szCs w:val="24"/>
        </w:rPr>
        <w:t xml:space="preserve">.  A reduction in advising staff </w:t>
      </w:r>
      <w:r w:rsidRPr="00777073">
        <w:rPr>
          <w:rFonts w:ascii="Times New Roman" w:hAnsi="Times New Roman" w:cs="Times New Roman"/>
          <w:sz w:val="24"/>
          <w:szCs w:val="24"/>
        </w:rPr>
        <w:t>necessitated</w:t>
      </w:r>
      <w:r w:rsidR="004D744D" w:rsidRPr="00777073">
        <w:rPr>
          <w:rFonts w:ascii="Times New Roman" w:hAnsi="Times New Roman" w:cs="Times New Roman"/>
          <w:sz w:val="24"/>
          <w:szCs w:val="24"/>
        </w:rPr>
        <w:t xml:space="preserve"> reorganization of our cohort advising model</w:t>
      </w:r>
      <w:r w:rsidR="00932449" w:rsidRPr="00777073">
        <w:rPr>
          <w:rFonts w:ascii="Times New Roman" w:hAnsi="Times New Roman" w:cs="Times New Roman"/>
          <w:sz w:val="24"/>
          <w:szCs w:val="24"/>
        </w:rPr>
        <w:t>, which continued for t</w:t>
      </w:r>
      <w:r w:rsidR="004D744D" w:rsidRPr="00777073">
        <w:rPr>
          <w:rFonts w:ascii="Times New Roman" w:hAnsi="Times New Roman" w:cs="Times New Roman"/>
          <w:sz w:val="24"/>
          <w:szCs w:val="24"/>
        </w:rPr>
        <w:t>riage, prob</w:t>
      </w:r>
      <w:r w:rsidR="00676179" w:rsidRPr="00777073">
        <w:rPr>
          <w:rFonts w:ascii="Times New Roman" w:hAnsi="Times New Roman" w:cs="Times New Roman"/>
          <w:sz w:val="24"/>
          <w:szCs w:val="24"/>
        </w:rPr>
        <w:t xml:space="preserve">ationary, transfer, UND-E, and special cohort (e.g </w:t>
      </w:r>
      <w:r w:rsidR="004D744D" w:rsidRPr="00777073">
        <w:rPr>
          <w:rFonts w:ascii="Times New Roman" w:hAnsi="Times New Roman" w:cs="Times New Roman"/>
          <w:sz w:val="24"/>
          <w:szCs w:val="24"/>
        </w:rPr>
        <w:t>CSF</w:t>
      </w:r>
      <w:r w:rsidR="00676179" w:rsidRPr="00777073">
        <w:rPr>
          <w:rFonts w:ascii="Times New Roman" w:hAnsi="Times New Roman" w:cs="Times New Roman"/>
          <w:sz w:val="24"/>
          <w:szCs w:val="24"/>
        </w:rPr>
        <w:t>, DCCFSA, KIPP</w:t>
      </w:r>
      <w:r w:rsidR="004D744D" w:rsidRPr="00777073">
        <w:rPr>
          <w:rFonts w:ascii="Times New Roman" w:hAnsi="Times New Roman" w:cs="Times New Roman"/>
          <w:sz w:val="24"/>
          <w:szCs w:val="24"/>
        </w:rPr>
        <w:t xml:space="preserve">) students.  We were unable to deploy </w:t>
      </w:r>
      <w:r w:rsidR="00676179" w:rsidRPr="00777073">
        <w:rPr>
          <w:rFonts w:ascii="Times New Roman" w:hAnsi="Times New Roman" w:cs="Times New Roman"/>
          <w:sz w:val="24"/>
          <w:szCs w:val="24"/>
        </w:rPr>
        <w:t xml:space="preserve">targeted </w:t>
      </w:r>
      <w:r w:rsidR="004D744D" w:rsidRPr="00777073">
        <w:rPr>
          <w:rFonts w:ascii="Times New Roman" w:hAnsi="Times New Roman" w:cs="Times New Roman"/>
          <w:sz w:val="24"/>
          <w:szCs w:val="24"/>
        </w:rPr>
        <w:t xml:space="preserve">resources for the </w:t>
      </w:r>
      <w:r w:rsidR="00676179" w:rsidRPr="00777073">
        <w:rPr>
          <w:rFonts w:ascii="Times New Roman" w:hAnsi="Times New Roman" w:cs="Times New Roman"/>
          <w:sz w:val="24"/>
          <w:szCs w:val="24"/>
        </w:rPr>
        <w:t xml:space="preserve">lowest-accuplacing (“trifecta”), UND-N, </w:t>
      </w:r>
      <w:r w:rsidR="004D744D" w:rsidRPr="00777073">
        <w:rPr>
          <w:rFonts w:ascii="Times New Roman" w:hAnsi="Times New Roman" w:cs="Times New Roman"/>
          <w:sz w:val="24"/>
          <w:szCs w:val="24"/>
        </w:rPr>
        <w:t xml:space="preserve">and Dean’s list cohorts.  </w:t>
      </w:r>
      <w:r w:rsidR="00C44AE4" w:rsidRPr="00777073">
        <w:rPr>
          <w:rFonts w:ascii="Times New Roman" w:hAnsi="Times New Roman" w:cs="Times New Roman"/>
          <w:sz w:val="24"/>
          <w:szCs w:val="24"/>
        </w:rPr>
        <w:t>Fall 2012</w:t>
      </w:r>
      <w:r w:rsidR="00676179" w:rsidRPr="00777073">
        <w:rPr>
          <w:rFonts w:ascii="Times New Roman" w:hAnsi="Times New Roman" w:cs="Times New Roman"/>
          <w:sz w:val="24"/>
          <w:szCs w:val="24"/>
        </w:rPr>
        <w:t>-Spring 2013</w:t>
      </w:r>
      <w:r w:rsidR="00C44AE4" w:rsidRPr="00777073">
        <w:rPr>
          <w:rFonts w:ascii="Times New Roman" w:hAnsi="Times New Roman" w:cs="Times New Roman"/>
          <w:sz w:val="24"/>
          <w:szCs w:val="24"/>
        </w:rPr>
        <w:t xml:space="preserve"> p</w:t>
      </w:r>
      <w:r w:rsidR="00F74384" w:rsidRPr="00777073">
        <w:rPr>
          <w:rFonts w:ascii="Times New Roman" w:hAnsi="Times New Roman" w:cs="Times New Roman"/>
          <w:sz w:val="24"/>
          <w:szCs w:val="24"/>
        </w:rPr>
        <w:t>rogra</w:t>
      </w:r>
      <w:r w:rsidR="00932449" w:rsidRPr="00777073">
        <w:rPr>
          <w:rFonts w:ascii="Times New Roman" w:hAnsi="Times New Roman" w:cs="Times New Roman"/>
          <w:sz w:val="24"/>
          <w:szCs w:val="24"/>
        </w:rPr>
        <w:t xml:space="preserve">m priorities included </w:t>
      </w:r>
      <w:r w:rsidR="004D744D" w:rsidRPr="00777073">
        <w:rPr>
          <w:rFonts w:ascii="Times New Roman" w:hAnsi="Times New Roman" w:cs="Times New Roman"/>
          <w:sz w:val="24"/>
          <w:szCs w:val="24"/>
        </w:rPr>
        <w:t>clarification</w:t>
      </w:r>
      <w:r w:rsidR="00F74384" w:rsidRPr="00777073">
        <w:rPr>
          <w:rFonts w:ascii="Times New Roman" w:hAnsi="Times New Roman" w:cs="Times New Roman"/>
          <w:sz w:val="24"/>
          <w:szCs w:val="24"/>
        </w:rPr>
        <w:t xml:space="preserve"> of </w:t>
      </w:r>
      <w:r w:rsidR="00647743" w:rsidRPr="00777073">
        <w:rPr>
          <w:rFonts w:ascii="Times New Roman" w:hAnsi="Times New Roman" w:cs="Times New Roman"/>
          <w:sz w:val="24"/>
          <w:szCs w:val="24"/>
        </w:rPr>
        <w:t>Tria</w:t>
      </w:r>
      <w:r w:rsidR="00F74384" w:rsidRPr="00777073">
        <w:rPr>
          <w:rFonts w:ascii="Times New Roman" w:hAnsi="Times New Roman" w:cs="Times New Roman"/>
          <w:sz w:val="24"/>
          <w:szCs w:val="24"/>
        </w:rPr>
        <w:t>ge policies</w:t>
      </w:r>
      <w:r w:rsidR="00455DD8" w:rsidRPr="00777073">
        <w:rPr>
          <w:rFonts w:ascii="Times New Roman" w:hAnsi="Times New Roman" w:cs="Times New Roman"/>
          <w:sz w:val="24"/>
          <w:szCs w:val="24"/>
        </w:rPr>
        <w:t xml:space="preserve">; </w:t>
      </w:r>
      <w:r w:rsidR="00B169BB" w:rsidRPr="00777073">
        <w:rPr>
          <w:rFonts w:ascii="Times New Roman" w:hAnsi="Times New Roman" w:cs="Times New Roman"/>
          <w:sz w:val="24"/>
          <w:szCs w:val="24"/>
        </w:rPr>
        <w:t>improving</w:t>
      </w:r>
      <w:r w:rsidR="00F74384" w:rsidRPr="00777073">
        <w:rPr>
          <w:rFonts w:ascii="Times New Roman" w:hAnsi="Times New Roman" w:cs="Times New Roman"/>
          <w:sz w:val="24"/>
          <w:szCs w:val="24"/>
        </w:rPr>
        <w:t xml:space="preserve"> </w:t>
      </w:r>
      <w:r w:rsidR="005D1491" w:rsidRPr="00777073">
        <w:rPr>
          <w:rFonts w:ascii="Times New Roman" w:hAnsi="Times New Roman" w:cs="Times New Roman"/>
          <w:sz w:val="24"/>
          <w:szCs w:val="24"/>
        </w:rPr>
        <w:t xml:space="preserve">the </w:t>
      </w:r>
      <w:r w:rsidR="00455DD8" w:rsidRPr="00777073">
        <w:rPr>
          <w:rFonts w:ascii="Times New Roman" w:hAnsi="Times New Roman" w:cs="Times New Roman"/>
          <w:sz w:val="24"/>
          <w:szCs w:val="24"/>
        </w:rPr>
        <w:t>CAS advising website</w:t>
      </w:r>
      <w:r w:rsidR="00F74384" w:rsidRPr="00777073">
        <w:rPr>
          <w:rFonts w:ascii="Times New Roman" w:hAnsi="Times New Roman" w:cs="Times New Roman"/>
          <w:sz w:val="24"/>
          <w:szCs w:val="24"/>
        </w:rPr>
        <w:t xml:space="preserve">; a focus on </w:t>
      </w:r>
      <w:r w:rsidR="00455DD8" w:rsidRPr="00777073">
        <w:rPr>
          <w:rFonts w:ascii="Times New Roman" w:hAnsi="Times New Roman" w:cs="Times New Roman"/>
          <w:sz w:val="24"/>
          <w:szCs w:val="24"/>
        </w:rPr>
        <w:t>“rolling alert” (earl</w:t>
      </w:r>
      <w:r w:rsidR="00F74384" w:rsidRPr="00777073">
        <w:rPr>
          <w:rFonts w:ascii="Times New Roman" w:hAnsi="Times New Roman" w:cs="Times New Roman"/>
          <w:sz w:val="24"/>
          <w:szCs w:val="24"/>
        </w:rPr>
        <w:t>y, mid-term, withdrawal</w:t>
      </w:r>
      <w:r w:rsidR="00455DD8" w:rsidRPr="00777073">
        <w:rPr>
          <w:rFonts w:ascii="Times New Roman" w:hAnsi="Times New Roman" w:cs="Times New Roman"/>
          <w:sz w:val="24"/>
          <w:szCs w:val="24"/>
        </w:rPr>
        <w:t>) communicati</w:t>
      </w:r>
      <w:r w:rsidR="005D1491" w:rsidRPr="00777073">
        <w:rPr>
          <w:rFonts w:ascii="Times New Roman" w:hAnsi="Times New Roman" w:cs="Times New Roman"/>
          <w:sz w:val="24"/>
          <w:szCs w:val="24"/>
        </w:rPr>
        <w:t>on</w:t>
      </w:r>
      <w:r w:rsidR="00C44AE4" w:rsidRPr="00777073">
        <w:rPr>
          <w:rFonts w:ascii="Times New Roman" w:hAnsi="Times New Roman" w:cs="Times New Roman"/>
          <w:sz w:val="24"/>
          <w:szCs w:val="24"/>
        </w:rPr>
        <w:t>s</w:t>
      </w:r>
      <w:r w:rsidR="00B169BB" w:rsidRPr="00777073">
        <w:rPr>
          <w:rFonts w:ascii="Times New Roman" w:hAnsi="Times New Roman" w:cs="Times New Roman"/>
          <w:sz w:val="24"/>
          <w:szCs w:val="24"/>
        </w:rPr>
        <w:t>/</w:t>
      </w:r>
      <w:r w:rsidR="00676179" w:rsidRPr="00777073">
        <w:rPr>
          <w:rFonts w:ascii="Times New Roman" w:hAnsi="Times New Roman" w:cs="Times New Roman"/>
          <w:sz w:val="24"/>
          <w:szCs w:val="24"/>
        </w:rPr>
        <w:t xml:space="preserve">interventions; </w:t>
      </w:r>
      <w:r w:rsidR="004D744D" w:rsidRPr="00777073">
        <w:rPr>
          <w:rFonts w:ascii="Times New Roman" w:hAnsi="Times New Roman" w:cs="Times New Roman"/>
          <w:sz w:val="24"/>
          <w:szCs w:val="24"/>
        </w:rPr>
        <w:t>par</w:t>
      </w:r>
      <w:r w:rsidR="00922483" w:rsidRPr="00777073">
        <w:rPr>
          <w:rFonts w:ascii="Times New Roman" w:hAnsi="Times New Roman" w:cs="Times New Roman"/>
          <w:sz w:val="24"/>
          <w:szCs w:val="24"/>
        </w:rPr>
        <w:t>tnership</w:t>
      </w:r>
      <w:r w:rsidR="004D744D" w:rsidRPr="00777073">
        <w:rPr>
          <w:rFonts w:ascii="Times New Roman" w:hAnsi="Times New Roman" w:cs="Times New Roman"/>
          <w:sz w:val="24"/>
          <w:szCs w:val="24"/>
        </w:rPr>
        <w:t xml:space="preserve"> with the Math Specialist program to enhance outcomes in pre-foundational math</w:t>
      </w:r>
      <w:r w:rsidR="00676179" w:rsidRPr="00777073">
        <w:rPr>
          <w:rFonts w:ascii="Times New Roman" w:hAnsi="Times New Roman" w:cs="Times New Roman"/>
          <w:sz w:val="24"/>
          <w:szCs w:val="24"/>
        </w:rPr>
        <w:t>, and</w:t>
      </w:r>
      <w:r w:rsidR="00922483" w:rsidRPr="00777073">
        <w:rPr>
          <w:rFonts w:ascii="Times New Roman" w:hAnsi="Times New Roman" w:cs="Times New Roman"/>
          <w:sz w:val="24"/>
          <w:szCs w:val="24"/>
        </w:rPr>
        <w:t xml:space="preserve"> enhanced</w:t>
      </w:r>
      <w:r w:rsidR="00676179" w:rsidRPr="00777073">
        <w:rPr>
          <w:rFonts w:ascii="Times New Roman" w:hAnsi="Times New Roman" w:cs="Times New Roman"/>
          <w:sz w:val="24"/>
          <w:szCs w:val="24"/>
        </w:rPr>
        <w:t xml:space="preserve"> special cohort </w:t>
      </w:r>
      <w:r w:rsidR="00922483" w:rsidRPr="00777073">
        <w:rPr>
          <w:rFonts w:ascii="Times New Roman" w:hAnsi="Times New Roman" w:cs="Times New Roman"/>
          <w:sz w:val="24"/>
          <w:szCs w:val="24"/>
        </w:rPr>
        <w:t>services</w:t>
      </w:r>
      <w:r w:rsidR="00455DD8" w:rsidRPr="00777073">
        <w:rPr>
          <w:rFonts w:ascii="Times New Roman" w:hAnsi="Times New Roman" w:cs="Times New Roman"/>
          <w:sz w:val="24"/>
          <w:szCs w:val="24"/>
        </w:rPr>
        <w:t>.</w:t>
      </w:r>
      <w:r w:rsidR="00922483" w:rsidRPr="00777073">
        <w:rPr>
          <w:rFonts w:ascii="Times New Roman" w:hAnsi="Times New Roman" w:cs="Times New Roman"/>
          <w:sz w:val="24"/>
          <w:szCs w:val="24"/>
        </w:rPr>
        <w:t xml:space="preserve">  We </w:t>
      </w:r>
      <w:r w:rsidR="003A4CEF" w:rsidRPr="00777073">
        <w:rPr>
          <w:rFonts w:ascii="Times New Roman" w:hAnsi="Times New Roman" w:cs="Times New Roman"/>
          <w:sz w:val="24"/>
          <w:szCs w:val="24"/>
        </w:rPr>
        <w:t>initiated</w:t>
      </w:r>
      <w:r w:rsidR="00B169BB" w:rsidRPr="00777073">
        <w:rPr>
          <w:rFonts w:ascii="Times New Roman" w:hAnsi="Times New Roman" w:cs="Times New Roman"/>
          <w:sz w:val="24"/>
          <w:szCs w:val="24"/>
        </w:rPr>
        <w:t xml:space="preserve"> new </w:t>
      </w:r>
      <w:r w:rsidR="001D73A2" w:rsidRPr="00777073">
        <w:rPr>
          <w:rFonts w:ascii="Times New Roman" w:hAnsi="Times New Roman" w:cs="Times New Roman"/>
          <w:sz w:val="24"/>
          <w:szCs w:val="24"/>
        </w:rPr>
        <w:t>collaboration with academic services</w:t>
      </w:r>
      <w:r w:rsidR="00932449" w:rsidRPr="00777073">
        <w:rPr>
          <w:rFonts w:ascii="Times New Roman" w:hAnsi="Times New Roman" w:cs="Times New Roman"/>
          <w:sz w:val="24"/>
          <w:szCs w:val="24"/>
        </w:rPr>
        <w:t xml:space="preserve"> and</w:t>
      </w:r>
      <w:r w:rsidR="00676179" w:rsidRPr="00777073">
        <w:rPr>
          <w:rFonts w:ascii="Times New Roman" w:hAnsi="Times New Roman" w:cs="Times New Roman"/>
          <w:sz w:val="24"/>
          <w:szCs w:val="24"/>
        </w:rPr>
        <w:t xml:space="preserve"> </w:t>
      </w:r>
      <w:r w:rsidR="00922483" w:rsidRPr="00777073">
        <w:rPr>
          <w:rFonts w:ascii="Times New Roman" w:hAnsi="Times New Roman" w:cs="Times New Roman"/>
          <w:sz w:val="24"/>
          <w:szCs w:val="24"/>
        </w:rPr>
        <w:t xml:space="preserve">began </w:t>
      </w:r>
      <w:r w:rsidR="00676179" w:rsidRPr="00777073">
        <w:rPr>
          <w:rFonts w:ascii="Times New Roman" w:hAnsi="Times New Roman" w:cs="Times New Roman"/>
          <w:sz w:val="24"/>
          <w:szCs w:val="24"/>
        </w:rPr>
        <w:t>weekly standing case management meeting</w:t>
      </w:r>
      <w:r w:rsidR="00922483" w:rsidRPr="00777073">
        <w:rPr>
          <w:rFonts w:ascii="Times New Roman" w:hAnsi="Times New Roman" w:cs="Times New Roman"/>
          <w:sz w:val="24"/>
          <w:szCs w:val="24"/>
        </w:rPr>
        <w:t>s</w:t>
      </w:r>
      <w:r w:rsidR="00676179" w:rsidRPr="00777073">
        <w:rPr>
          <w:rFonts w:ascii="Times New Roman" w:hAnsi="Times New Roman" w:cs="Times New Roman"/>
          <w:sz w:val="24"/>
          <w:szCs w:val="24"/>
        </w:rPr>
        <w:t xml:space="preserve"> with enrollment services </w:t>
      </w:r>
      <w:r w:rsidR="00B169BB" w:rsidRPr="00777073">
        <w:rPr>
          <w:rFonts w:ascii="Times New Roman" w:hAnsi="Times New Roman" w:cs="Times New Roman"/>
          <w:sz w:val="24"/>
          <w:szCs w:val="24"/>
        </w:rPr>
        <w:t>to develop wraparound service plans for s</w:t>
      </w:r>
      <w:r w:rsidR="00676179" w:rsidRPr="00777073">
        <w:rPr>
          <w:rFonts w:ascii="Times New Roman" w:hAnsi="Times New Roman" w:cs="Times New Roman"/>
          <w:sz w:val="24"/>
          <w:szCs w:val="24"/>
        </w:rPr>
        <w:t>tudents with multiple risk factors.</w:t>
      </w:r>
    </w:p>
    <w:p w:rsidR="00455DD8" w:rsidRPr="00777073" w:rsidRDefault="00455DD8" w:rsidP="00676179">
      <w:p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sz w:val="24"/>
          <w:szCs w:val="24"/>
        </w:rPr>
        <w:t>This report focuses</w:t>
      </w:r>
      <w:r w:rsidR="00647743" w:rsidRPr="00777073">
        <w:rPr>
          <w:rFonts w:ascii="Times New Roman" w:hAnsi="Times New Roman" w:cs="Times New Roman"/>
          <w:sz w:val="24"/>
          <w:szCs w:val="24"/>
        </w:rPr>
        <w:t xml:space="preserve"> on outcomes for </w:t>
      </w:r>
      <w:r w:rsidR="00FA1B76" w:rsidRPr="00777073">
        <w:rPr>
          <w:rFonts w:ascii="Times New Roman" w:hAnsi="Times New Roman" w:cs="Times New Roman"/>
          <w:sz w:val="24"/>
          <w:szCs w:val="24"/>
        </w:rPr>
        <w:t>four</w:t>
      </w:r>
      <w:r w:rsidR="00647743" w:rsidRPr="00777073">
        <w:rPr>
          <w:rFonts w:ascii="Times New Roman" w:hAnsi="Times New Roman" w:cs="Times New Roman"/>
          <w:sz w:val="24"/>
          <w:szCs w:val="24"/>
        </w:rPr>
        <w:t xml:space="preserve"> of these initiatives:  </w:t>
      </w:r>
      <w:r w:rsidR="00FA1B76" w:rsidRPr="00777073">
        <w:rPr>
          <w:rFonts w:ascii="Times New Roman" w:hAnsi="Times New Roman" w:cs="Times New Roman"/>
          <w:sz w:val="24"/>
          <w:szCs w:val="24"/>
        </w:rPr>
        <w:t xml:space="preserve">probationary advising, </w:t>
      </w:r>
      <w:r w:rsidR="005D1491" w:rsidRPr="00777073">
        <w:rPr>
          <w:rFonts w:ascii="Times New Roman" w:hAnsi="Times New Roman" w:cs="Times New Roman"/>
          <w:sz w:val="24"/>
          <w:szCs w:val="24"/>
        </w:rPr>
        <w:t xml:space="preserve">CAS </w:t>
      </w:r>
      <w:r w:rsidR="004D744D" w:rsidRPr="00777073">
        <w:rPr>
          <w:rFonts w:ascii="Times New Roman" w:hAnsi="Times New Roman" w:cs="Times New Roman"/>
          <w:sz w:val="24"/>
          <w:szCs w:val="24"/>
        </w:rPr>
        <w:t xml:space="preserve">rolling </w:t>
      </w:r>
      <w:r w:rsidR="005D1491" w:rsidRPr="00777073">
        <w:rPr>
          <w:rFonts w:ascii="Times New Roman" w:hAnsi="Times New Roman" w:cs="Times New Roman"/>
          <w:sz w:val="24"/>
          <w:szCs w:val="24"/>
        </w:rPr>
        <w:t>alert systems, the advising website,</w:t>
      </w:r>
      <w:r w:rsidR="00647743" w:rsidRPr="00777073">
        <w:rPr>
          <w:rFonts w:ascii="Times New Roman" w:hAnsi="Times New Roman" w:cs="Times New Roman"/>
          <w:sz w:val="24"/>
          <w:szCs w:val="24"/>
        </w:rPr>
        <w:t xml:space="preserve"> </w:t>
      </w:r>
      <w:r w:rsidR="004D744D" w:rsidRPr="00777073">
        <w:rPr>
          <w:rFonts w:ascii="Times New Roman" w:hAnsi="Times New Roman" w:cs="Times New Roman"/>
          <w:sz w:val="24"/>
          <w:szCs w:val="24"/>
        </w:rPr>
        <w:t xml:space="preserve">and the Triage program.  We also completed some analysis on the UND-N </w:t>
      </w:r>
      <w:r w:rsidR="00B169BB" w:rsidRPr="00777073">
        <w:rPr>
          <w:rFonts w:ascii="Times New Roman" w:hAnsi="Times New Roman" w:cs="Times New Roman"/>
          <w:sz w:val="24"/>
          <w:szCs w:val="24"/>
        </w:rPr>
        <w:t>cohort</w:t>
      </w:r>
      <w:r w:rsidR="004D744D" w:rsidRPr="00777073">
        <w:rPr>
          <w:rFonts w:ascii="Times New Roman" w:hAnsi="Times New Roman" w:cs="Times New Roman"/>
          <w:sz w:val="24"/>
          <w:szCs w:val="24"/>
        </w:rPr>
        <w:t xml:space="preserve">, </w:t>
      </w:r>
      <w:r w:rsidR="00932449" w:rsidRPr="00777073">
        <w:rPr>
          <w:rFonts w:ascii="Times New Roman" w:hAnsi="Times New Roman" w:cs="Times New Roman"/>
          <w:sz w:val="24"/>
          <w:szCs w:val="24"/>
        </w:rPr>
        <w:t>an</w:t>
      </w:r>
      <w:r w:rsidR="004D744D" w:rsidRPr="00777073">
        <w:rPr>
          <w:rFonts w:ascii="Times New Roman" w:hAnsi="Times New Roman" w:cs="Times New Roman"/>
          <w:sz w:val="24"/>
          <w:szCs w:val="24"/>
        </w:rPr>
        <w:t xml:space="preserve"> important </w:t>
      </w:r>
      <w:r w:rsidR="00932449" w:rsidRPr="00777073">
        <w:rPr>
          <w:rFonts w:ascii="Times New Roman" w:hAnsi="Times New Roman" w:cs="Times New Roman"/>
          <w:sz w:val="24"/>
          <w:szCs w:val="24"/>
        </w:rPr>
        <w:t>cohort in Trinity’s strategic plan for enrollment growth.</w:t>
      </w:r>
    </w:p>
    <w:p w:rsidR="00647743" w:rsidRPr="00777073" w:rsidRDefault="00647743" w:rsidP="00455DD8">
      <w:pPr>
        <w:shd w:val="clear" w:color="auto" w:fill="FFFFFF"/>
        <w:spacing w:before="100" w:beforeAutospacing="1" w:after="270"/>
        <w:rPr>
          <w:rFonts w:ascii="Times New Roman" w:hAnsi="Times New Roman" w:cs="Times New Roman"/>
          <w:color w:val="000000" w:themeColor="text1"/>
          <w:sz w:val="24"/>
          <w:szCs w:val="24"/>
        </w:rPr>
      </w:pPr>
      <w:r w:rsidRPr="00777073">
        <w:rPr>
          <w:rFonts w:ascii="Times New Roman" w:hAnsi="Times New Roman" w:cs="Times New Roman"/>
          <w:color w:val="000000" w:themeColor="text1"/>
          <w:sz w:val="24"/>
          <w:szCs w:val="24"/>
          <w:u w:val="single"/>
        </w:rPr>
        <w:t>Key Findings</w:t>
      </w:r>
    </w:p>
    <w:p w:rsidR="00647743" w:rsidRPr="00777073" w:rsidRDefault="00C639A4" w:rsidP="000C134C">
      <w:pPr>
        <w:rPr>
          <w:rFonts w:ascii="Times New Roman" w:hAnsi="Times New Roman" w:cs="Times New Roman"/>
          <w:sz w:val="24"/>
          <w:szCs w:val="24"/>
        </w:rPr>
      </w:pPr>
      <w:r w:rsidRPr="00777073">
        <w:rPr>
          <w:rFonts w:ascii="Times New Roman" w:hAnsi="Times New Roman" w:cs="Times New Roman"/>
          <w:b/>
          <w:color w:val="000000" w:themeColor="text1"/>
          <w:sz w:val="24"/>
          <w:szCs w:val="24"/>
        </w:rPr>
        <w:t xml:space="preserve">There is </w:t>
      </w:r>
      <w:r w:rsidR="000C134C" w:rsidRPr="00777073">
        <w:rPr>
          <w:rFonts w:ascii="Times New Roman" w:hAnsi="Times New Roman" w:cs="Times New Roman"/>
          <w:b/>
          <w:color w:val="000000" w:themeColor="text1"/>
          <w:sz w:val="24"/>
          <w:szCs w:val="24"/>
        </w:rPr>
        <w:t xml:space="preserve">tentative </w:t>
      </w:r>
      <w:r w:rsidRPr="00777073">
        <w:rPr>
          <w:rFonts w:ascii="Times New Roman" w:hAnsi="Times New Roman" w:cs="Times New Roman"/>
          <w:b/>
          <w:color w:val="000000" w:themeColor="text1"/>
          <w:sz w:val="24"/>
          <w:szCs w:val="24"/>
        </w:rPr>
        <w:t>support for the success of advising interventions with probationary students:</w:t>
      </w:r>
      <w:r w:rsidR="000C134C" w:rsidRPr="00777073">
        <w:rPr>
          <w:rFonts w:ascii="Times New Roman" w:hAnsi="Times New Roman" w:cs="Times New Roman"/>
          <w:sz w:val="24"/>
          <w:szCs w:val="24"/>
        </w:rPr>
        <w:t xml:space="preserve">  </w:t>
      </w:r>
      <w:r w:rsidR="00902B10" w:rsidRPr="00777073">
        <w:rPr>
          <w:rFonts w:ascii="Times New Roman" w:hAnsi="Times New Roman" w:cs="Times New Roman"/>
          <w:sz w:val="24"/>
          <w:szCs w:val="24"/>
        </w:rPr>
        <w:t>S</w:t>
      </w:r>
      <w:r w:rsidR="00495648" w:rsidRPr="00777073">
        <w:rPr>
          <w:rFonts w:ascii="Times New Roman" w:hAnsi="Times New Roman" w:cs="Times New Roman"/>
          <w:color w:val="000000" w:themeColor="text1"/>
          <w:sz w:val="24"/>
          <w:szCs w:val="24"/>
        </w:rPr>
        <w:t>econd probations remained flat from Fall 2011 to Fall 2012</w:t>
      </w:r>
      <w:r w:rsidR="000C134C" w:rsidRPr="00777073">
        <w:rPr>
          <w:rFonts w:ascii="Times New Roman" w:hAnsi="Times New Roman" w:cs="Times New Roman"/>
          <w:color w:val="000000" w:themeColor="text1"/>
          <w:sz w:val="24"/>
          <w:szCs w:val="24"/>
        </w:rPr>
        <w:t xml:space="preserve"> and academic dismissals remained flat from Spring 2012 to Spring 2013</w:t>
      </w:r>
      <w:r w:rsidR="00902B10" w:rsidRPr="00777073">
        <w:rPr>
          <w:rFonts w:ascii="Times New Roman" w:hAnsi="Times New Roman" w:cs="Times New Roman"/>
          <w:color w:val="000000" w:themeColor="text1"/>
          <w:sz w:val="24"/>
          <w:szCs w:val="24"/>
        </w:rPr>
        <w:t xml:space="preserve">.  Given the </w:t>
      </w:r>
      <w:r w:rsidR="000C134C" w:rsidRPr="00777073">
        <w:rPr>
          <w:rFonts w:ascii="Times New Roman" w:hAnsi="Times New Roman" w:cs="Times New Roman"/>
          <w:color w:val="000000" w:themeColor="text1"/>
          <w:sz w:val="24"/>
          <w:szCs w:val="24"/>
        </w:rPr>
        <w:t>increase in the overall student body</w:t>
      </w:r>
      <w:r w:rsidR="00902B10" w:rsidRPr="00777073">
        <w:rPr>
          <w:rFonts w:ascii="Times New Roman" w:hAnsi="Times New Roman" w:cs="Times New Roman"/>
          <w:color w:val="000000" w:themeColor="text1"/>
          <w:sz w:val="24"/>
          <w:szCs w:val="24"/>
        </w:rPr>
        <w:t xml:space="preserve">, </w:t>
      </w:r>
      <w:r w:rsidR="00495648" w:rsidRPr="00777073">
        <w:rPr>
          <w:rFonts w:ascii="Times New Roman" w:hAnsi="Times New Roman" w:cs="Times New Roman"/>
          <w:color w:val="000000" w:themeColor="text1"/>
          <w:sz w:val="24"/>
          <w:szCs w:val="24"/>
        </w:rPr>
        <w:t xml:space="preserve">we tentatively conclude that our interventions </w:t>
      </w:r>
      <w:r w:rsidR="003F4D15" w:rsidRPr="00777073">
        <w:rPr>
          <w:rFonts w:ascii="Times New Roman" w:hAnsi="Times New Roman" w:cs="Times New Roman"/>
          <w:color w:val="000000" w:themeColor="text1"/>
          <w:sz w:val="24"/>
          <w:szCs w:val="24"/>
        </w:rPr>
        <w:t>had a remediating effect</w:t>
      </w:r>
      <w:r w:rsidR="00932449" w:rsidRPr="00777073">
        <w:rPr>
          <w:rFonts w:ascii="Times New Roman" w:hAnsi="Times New Roman" w:cs="Times New Roman"/>
          <w:color w:val="000000" w:themeColor="text1"/>
          <w:sz w:val="24"/>
          <w:szCs w:val="24"/>
        </w:rPr>
        <w:t xml:space="preserve"> for some students</w:t>
      </w:r>
      <w:r w:rsidR="003F4D15" w:rsidRPr="00777073">
        <w:rPr>
          <w:rFonts w:ascii="Times New Roman" w:hAnsi="Times New Roman" w:cs="Times New Roman"/>
          <w:color w:val="000000" w:themeColor="text1"/>
          <w:sz w:val="24"/>
          <w:szCs w:val="24"/>
        </w:rPr>
        <w:t>.</w:t>
      </w:r>
    </w:p>
    <w:p w:rsidR="007C6BE0" w:rsidRPr="00777073" w:rsidRDefault="000C134C" w:rsidP="000C134C">
      <w:p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b/>
          <w:sz w:val="24"/>
          <w:szCs w:val="24"/>
        </w:rPr>
        <w:t xml:space="preserve">Partnership with specialists works:  </w:t>
      </w:r>
      <w:r w:rsidRPr="00777073">
        <w:rPr>
          <w:rFonts w:ascii="Times New Roman" w:hAnsi="Times New Roman" w:cs="Times New Roman"/>
          <w:sz w:val="24"/>
          <w:szCs w:val="24"/>
        </w:rPr>
        <w:t>Partnership with the Math specialists to enhance student success in pre-foundational courses had an impact on student pass rates.</w:t>
      </w:r>
    </w:p>
    <w:p w:rsidR="0001573A" w:rsidRPr="00777073" w:rsidRDefault="007C6BE0" w:rsidP="000C134C">
      <w:p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b/>
          <w:sz w:val="24"/>
          <w:szCs w:val="24"/>
        </w:rPr>
        <w:lastRenderedPageBreak/>
        <w:t>T</w:t>
      </w:r>
      <w:r w:rsidR="00C639A4" w:rsidRPr="00777073">
        <w:rPr>
          <w:rFonts w:ascii="Times New Roman" w:hAnsi="Times New Roman" w:cs="Times New Roman"/>
          <w:b/>
          <w:sz w:val="24"/>
          <w:szCs w:val="24"/>
        </w:rPr>
        <w:t>ime management and study skills are key</w:t>
      </w:r>
      <w:r w:rsidRPr="00777073">
        <w:rPr>
          <w:rFonts w:ascii="Times New Roman" w:hAnsi="Times New Roman" w:cs="Times New Roman"/>
          <w:b/>
          <w:sz w:val="24"/>
          <w:szCs w:val="24"/>
        </w:rPr>
        <w:t xml:space="preserve"> areas for student improvment</w:t>
      </w:r>
      <w:r w:rsidR="00C639A4" w:rsidRPr="00777073">
        <w:rPr>
          <w:rFonts w:ascii="Times New Roman" w:hAnsi="Times New Roman" w:cs="Times New Roman"/>
          <w:b/>
          <w:sz w:val="24"/>
          <w:szCs w:val="24"/>
        </w:rPr>
        <w:t xml:space="preserve">:  </w:t>
      </w:r>
      <w:r w:rsidR="003F4D15" w:rsidRPr="00777073">
        <w:rPr>
          <w:rFonts w:ascii="Times New Roman" w:hAnsi="Times New Roman" w:cs="Times New Roman"/>
          <w:sz w:val="24"/>
          <w:szCs w:val="24"/>
        </w:rPr>
        <w:t>As in prior years, e</w:t>
      </w:r>
      <w:r w:rsidR="00CD2981" w:rsidRPr="00777073">
        <w:rPr>
          <w:rFonts w:ascii="Times New Roman" w:hAnsi="Times New Roman" w:cs="Times New Roman"/>
          <w:sz w:val="24"/>
          <w:szCs w:val="24"/>
        </w:rPr>
        <w:t>arly alert data suggest that students struggle</w:t>
      </w:r>
      <w:r w:rsidR="004D0AFF" w:rsidRPr="00777073">
        <w:rPr>
          <w:rFonts w:ascii="Times New Roman" w:hAnsi="Times New Roman" w:cs="Times New Roman"/>
          <w:sz w:val="24"/>
          <w:szCs w:val="24"/>
        </w:rPr>
        <w:t xml:space="preserve">d most with low performance on exams and </w:t>
      </w:r>
      <w:r w:rsidR="00C639A4" w:rsidRPr="00777073">
        <w:rPr>
          <w:rFonts w:ascii="Times New Roman" w:hAnsi="Times New Roman" w:cs="Times New Roman"/>
          <w:sz w:val="24"/>
          <w:szCs w:val="24"/>
        </w:rPr>
        <w:t xml:space="preserve">quizzes, attendance issues, </w:t>
      </w:r>
      <w:r w:rsidR="004D0AFF" w:rsidRPr="00777073">
        <w:rPr>
          <w:rFonts w:ascii="Times New Roman" w:hAnsi="Times New Roman" w:cs="Times New Roman"/>
          <w:sz w:val="24"/>
          <w:szCs w:val="24"/>
        </w:rPr>
        <w:t>not completing homework assignments</w:t>
      </w:r>
      <w:r w:rsidR="00C639A4" w:rsidRPr="00777073">
        <w:rPr>
          <w:rFonts w:ascii="Times New Roman" w:hAnsi="Times New Roman" w:cs="Times New Roman"/>
          <w:sz w:val="24"/>
          <w:szCs w:val="24"/>
        </w:rPr>
        <w:t>, and other factors related to not managing time or studying efficiently.</w:t>
      </w:r>
    </w:p>
    <w:p w:rsidR="004171BA" w:rsidRPr="00777073" w:rsidRDefault="00C639A4" w:rsidP="000C134C">
      <w:pPr>
        <w:shd w:val="clear" w:color="auto" w:fill="FFFFFF"/>
        <w:spacing w:before="100" w:beforeAutospacing="1" w:after="270"/>
        <w:rPr>
          <w:rFonts w:ascii="Times New Roman" w:hAnsi="Times New Roman" w:cs="Times New Roman"/>
          <w:color w:val="000000" w:themeColor="text1"/>
          <w:sz w:val="24"/>
          <w:szCs w:val="24"/>
        </w:rPr>
      </w:pPr>
      <w:r w:rsidRPr="00777073">
        <w:rPr>
          <w:rFonts w:ascii="Times New Roman" w:hAnsi="Times New Roman" w:cs="Times New Roman"/>
          <w:b/>
          <w:sz w:val="24"/>
          <w:szCs w:val="24"/>
        </w:rPr>
        <w:t xml:space="preserve">The Triage population is changing:  </w:t>
      </w:r>
      <w:r w:rsidR="007C6BE0" w:rsidRPr="00777073">
        <w:rPr>
          <w:rFonts w:ascii="Times New Roman" w:hAnsi="Times New Roman" w:cs="Times New Roman"/>
          <w:sz w:val="24"/>
          <w:szCs w:val="24"/>
        </w:rPr>
        <w:t>As compared to</w:t>
      </w:r>
      <w:r w:rsidR="00B92CBA" w:rsidRPr="00777073">
        <w:rPr>
          <w:rFonts w:ascii="Times New Roman" w:hAnsi="Times New Roman" w:cs="Times New Roman"/>
          <w:sz w:val="24"/>
          <w:szCs w:val="24"/>
        </w:rPr>
        <w:t xml:space="preserve"> prior years, </w:t>
      </w:r>
      <w:r w:rsidR="000C134C" w:rsidRPr="00777073">
        <w:rPr>
          <w:rFonts w:ascii="Times New Roman" w:hAnsi="Times New Roman" w:cs="Times New Roman"/>
          <w:sz w:val="24"/>
          <w:szCs w:val="24"/>
        </w:rPr>
        <w:t>an increased proportion</w:t>
      </w:r>
      <w:r w:rsidR="007C6BE0" w:rsidRPr="00777073">
        <w:rPr>
          <w:rFonts w:ascii="Times New Roman" w:hAnsi="Times New Roman" w:cs="Times New Roman"/>
          <w:sz w:val="24"/>
          <w:szCs w:val="24"/>
        </w:rPr>
        <w:t xml:space="preserve"> of </w:t>
      </w:r>
      <w:r w:rsidR="0001573A" w:rsidRPr="00777073">
        <w:rPr>
          <w:rFonts w:ascii="Times New Roman" w:hAnsi="Times New Roman" w:cs="Times New Roman"/>
          <w:sz w:val="24"/>
          <w:szCs w:val="24"/>
        </w:rPr>
        <w:t xml:space="preserve">Triage cases </w:t>
      </w:r>
      <w:r w:rsidR="007C6BE0" w:rsidRPr="00777073">
        <w:rPr>
          <w:rFonts w:ascii="Times New Roman" w:hAnsi="Times New Roman" w:cs="Times New Roman"/>
          <w:sz w:val="24"/>
          <w:szCs w:val="24"/>
        </w:rPr>
        <w:t>was accounted for by medical emergencies</w:t>
      </w:r>
      <w:r w:rsidR="0001573A" w:rsidRPr="00777073">
        <w:rPr>
          <w:rFonts w:ascii="Times New Roman" w:hAnsi="Times New Roman" w:cs="Times New Roman"/>
          <w:sz w:val="24"/>
          <w:szCs w:val="24"/>
        </w:rPr>
        <w:t xml:space="preserve">.  </w:t>
      </w:r>
      <w:r w:rsidR="007C6BE0" w:rsidRPr="00777073">
        <w:rPr>
          <w:rFonts w:ascii="Times New Roman" w:hAnsi="Times New Roman" w:cs="Times New Roman"/>
          <w:sz w:val="24"/>
          <w:szCs w:val="24"/>
        </w:rPr>
        <w:t xml:space="preserve">Regarding academic status, </w:t>
      </w:r>
      <w:r w:rsidR="00902B10" w:rsidRPr="00777073">
        <w:rPr>
          <w:rFonts w:ascii="Times New Roman" w:hAnsi="Times New Roman" w:cs="Times New Roman"/>
          <w:sz w:val="24"/>
          <w:szCs w:val="24"/>
        </w:rPr>
        <w:t>33%</w:t>
      </w:r>
      <w:r w:rsidR="004171BA" w:rsidRPr="00777073">
        <w:rPr>
          <w:rFonts w:ascii="Times New Roman" w:hAnsi="Times New Roman" w:cs="Times New Roman"/>
          <w:color w:val="000000" w:themeColor="text1"/>
          <w:sz w:val="24"/>
          <w:szCs w:val="24"/>
        </w:rPr>
        <w:t xml:space="preserve"> of Triage students were placed on some form of probation</w:t>
      </w:r>
      <w:r w:rsidR="007C6BE0" w:rsidRPr="00777073">
        <w:rPr>
          <w:rFonts w:ascii="Times New Roman" w:hAnsi="Times New Roman" w:cs="Times New Roman"/>
          <w:color w:val="000000" w:themeColor="text1"/>
          <w:sz w:val="24"/>
          <w:szCs w:val="24"/>
        </w:rPr>
        <w:t xml:space="preserve"> after an unsuccessful Fall semester.</w:t>
      </w:r>
      <w:r w:rsidR="000145BA" w:rsidRPr="00777073">
        <w:rPr>
          <w:rFonts w:ascii="Times New Roman" w:hAnsi="Times New Roman" w:cs="Times New Roman"/>
          <w:color w:val="000000" w:themeColor="text1"/>
          <w:sz w:val="24"/>
          <w:szCs w:val="24"/>
        </w:rPr>
        <w:t xml:space="preserve"> Triage status continues to present a risk factor for academic standing.</w:t>
      </w:r>
    </w:p>
    <w:p w:rsidR="00F640A3" w:rsidRPr="00777073" w:rsidRDefault="00194AD0" w:rsidP="000C134C">
      <w:p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b/>
          <w:sz w:val="24"/>
          <w:szCs w:val="24"/>
        </w:rPr>
        <w:t>The CAS to n</w:t>
      </w:r>
      <w:r w:rsidR="007C6BE0" w:rsidRPr="00777073">
        <w:rPr>
          <w:rFonts w:ascii="Times New Roman" w:hAnsi="Times New Roman" w:cs="Times New Roman"/>
          <w:b/>
          <w:sz w:val="24"/>
          <w:szCs w:val="24"/>
        </w:rPr>
        <w:t xml:space="preserve">ursing glidepath </w:t>
      </w:r>
      <w:r w:rsidR="00C639A4" w:rsidRPr="00777073">
        <w:rPr>
          <w:rFonts w:ascii="Times New Roman" w:hAnsi="Times New Roman" w:cs="Times New Roman"/>
          <w:b/>
          <w:sz w:val="24"/>
          <w:szCs w:val="24"/>
        </w:rPr>
        <w:t>present</w:t>
      </w:r>
      <w:r w:rsidR="007C6BE0" w:rsidRPr="00777073">
        <w:rPr>
          <w:rFonts w:ascii="Times New Roman" w:hAnsi="Times New Roman" w:cs="Times New Roman"/>
          <w:b/>
          <w:sz w:val="24"/>
          <w:szCs w:val="24"/>
        </w:rPr>
        <w:t>ed</w:t>
      </w:r>
      <w:r w:rsidR="00C639A4" w:rsidRPr="00777073">
        <w:rPr>
          <w:rFonts w:ascii="Times New Roman" w:hAnsi="Times New Roman" w:cs="Times New Roman"/>
          <w:b/>
          <w:sz w:val="24"/>
          <w:szCs w:val="24"/>
        </w:rPr>
        <w:t xml:space="preserve"> challenges:  </w:t>
      </w:r>
      <w:r w:rsidR="001D650C" w:rsidRPr="00777073">
        <w:rPr>
          <w:rFonts w:ascii="Times New Roman" w:hAnsi="Times New Roman" w:cs="Times New Roman"/>
          <w:sz w:val="24"/>
          <w:szCs w:val="24"/>
        </w:rPr>
        <w:t xml:space="preserve">Thirty-two percent </w:t>
      </w:r>
      <w:r w:rsidR="00F640A3" w:rsidRPr="00777073">
        <w:rPr>
          <w:rFonts w:ascii="Times New Roman" w:hAnsi="Times New Roman" w:cs="Times New Roman"/>
          <w:sz w:val="24"/>
          <w:szCs w:val="24"/>
        </w:rPr>
        <w:t>of CAS student</w:t>
      </w:r>
      <w:r w:rsidR="00902B10" w:rsidRPr="00777073">
        <w:rPr>
          <w:rFonts w:ascii="Times New Roman" w:hAnsi="Times New Roman" w:cs="Times New Roman"/>
          <w:sz w:val="24"/>
          <w:szCs w:val="24"/>
        </w:rPr>
        <w:t>s</w:t>
      </w:r>
      <w:r w:rsidR="00F640A3" w:rsidRPr="00777073">
        <w:rPr>
          <w:rFonts w:ascii="Times New Roman" w:hAnsi="Times New Roman" w:cs="Times New Roman"/>
          <w:sz w:val="24"/>
          <w:szCs w:val="24"/>
        </w:rPr>
        <w:t xml:space="preserve"> who applied for </w:t>
      </w:r>
      <w:r w:rsidR="001D650C" w:rsidRPr="00777073">
        <w:rPr>
          <w:rFonts w:ascii="Times New Roman" w:hAnsi="Times New Roman" w:cs="Times New Roman"/>
          <w:sz w:val="24"/>
          <w:szCs w:val="24"/>
        </w:rPr>
        <w:t>Spring 2013</w:t>
      </w:r>
      <w:r w:rsidR="00F640A3" w:rsidRPr="00777073">
        <w:rPr>
          <w:rFonts w:ascii="Times New Roman" w:hAnsi="Times New Roman" w:cs="Times New Roman"/>
          <w:sz w:val="24"/>
          <w:szCs w:val="24"/>
        </w:rPr>
        <w:t xml:space="preserve"> </w:t>
      </w:r>
      <w:r w:rsidR="00902B10" w:rsidRPr="00777073">
        <w:rPr>
          <w:rFonts w:ascii="Times New Roman" w:hAnsi="Times New Roman" w:cs="Times New Roman"/>
          <w:sz w:val="24"/>
          <w:szCs w:val="24"/>
        </w:rPr>
        <w:t xml:space="preserve">nursing </w:t>
      </w:r>
      <w:r w:rsidR="00F640A3" w:rsidRPr="00777073">
        <w:rPr>
          <w:rFonts w:ascii="Times New Roman" w:hAnsi="Times New Roman" w:cs="Times New Roman"/>
          <w:sz w:val="24"/>
          <w:szCs w:val="24"/>
        </w:rPr>
        <w:t xml:space="preserve">admission </w:t>
      </w:r>
      <w:r w:rsidR="00902B10" w:rsidRPr="00777073">
        <w:rPr>
          <w:rFonts w:ascii="Times New Roman" w:hAnsi="Times New Roman" w:cs="Times New Roman"/>
          <w:sz w:val="24"/>
          <w:szCs w:val="24"/>
        </w:rPr>
        <w:t>w</w:t>
      </w:r>
      <w:r w:rsidRPr="00777073">
        <w:rPr>
          <w:rFonts w:ascii="Times New Roman" w:hAnsi="Times New Roman" w:cs="Times New Roman"/>
          <w:sz w:val="24"/>
          <w:szCs w:val="24"/>
        </w:rPr>
        <w:t>ere</w:t>
      </w:r>
      <w:r w:rsidR="00F640A3" w:rsidRPr="00777073">
        <w:rPr>
          <w:rFonts w:ascii="Times New Roman" w:hAnsi="Times New Roman" w:cs="Times New Roman"/>
          <w:sz w:val="24"/>
          <w:szCs w:val="24"/>
        </w:rPr>
        <w:t xml:space="preserve"> admitted</w:t>
      </w:r>
      <w:r w:rsidR="00DB7BDF" w:rsidRPr="00777073">
        <w:rPr>
          <w:rFonts w:ascii="Times New Roman" w:hAnsi="Times New Roman" w:cs="Times New Roman"/>
          <w:sz w:val="24"/>
          <w:szCs w:val="24"/>
        </w:rPr>
        <w:t xml:space="preserve"> (8/25; of these one student</w:t>
      </w:r>
      <w:r w:rsidR="001D650C" w:rsidRPr="00777073">
        <w:rPr>
          <w:rFonts w:ascii="Times New Roman" w:hAnsi="Times New Roman" w:cs="Times New Roman"/>
          <w:sz w:val="24"/>
          <w:szCs w:val="24"/>
        </w:rPr>
        <w:t xml:space="preserve"> was accepted but declined)</w:t>
      </w:r>
      <w:r w:rsidR="00287FC3" w:rsidRPr="00777073">
        <w:rPr>
          <w:rFonts w:ascii="Times New Roman" w:hAnsi="Times New Roman" w:cs="Times New Roman"/>
          <w:sz w:val="24"/>
          <w:szCs w:val="24"/>
        </w:rPr>
        <w:t>.</w:t>
      </w:r>
      <w:r w:rsidR="001D650C" w:rsidRPr="00777073">
        <w:rPr>
          <w:rFonts w:ascii="Times New Roman" w:hAnsi="Times New Roman" w:cs="Times New Roman"/>
          <w:sz w:val="24"/>
          <w:szCs w:val="24"/>
        </w:rPr>
        <w:t xml:space="preserve">  CAS students represent</w:t>
      </w:r>
      <w:r w:rsidRPr="00777073">
        <w:rPr>
          <w:rFonts w:ascii="Times New Roman" w:hAnsi="Times New Roman" w:cs="Times New Roman"/>
          <w:sz w:val="24"/>
          <w:szCs w:val="24"/>
        </w:rPr>
        <w:t>ed</w:t>
      </w:r>
      <w:r w:rsidR="001D650C" w:rsidRPr="00777073">
        <w:rPr>
          <w:rFonts w:ascii="Times New Roman" w:hAnsi="Times New Roman" w:cs="Times New Roman"/>
          <w:sz w:val="24"/>
          <w:szCs w:val="24"/>
        </w:rPr>
        <w:t xml:space="preserve"> 23% of the Spring 2013 class of new n</w:t>
      </w:r>
      <w:r w:rsidR="007C6BE0" w:rsidRPr="00777073">
        <w:rPr>
          <w:rFonts w:ascii="Times New Roman" w:hAnsi="Times New Roman" w:cs="Times New Roman"/>
          <w:sz w:val="24"/>
          <w:szCs w:val="24"/>
        </w:rPr>
        <w:t xml:space="preserve">ursing students (7/30).  This </w:t>
      </w:r>
      <w:r w:rsidR="001D650C" w:rsidRPr="00777073">
        <w:rPr>
          <w:rFonts w:ascii="Times New Roman" w:hAnsi="Times New Roman" w:cs="Times New Roman"/>
          <w:sz w:val="24"/>
          <w:szCs w:val="24"/>
        </w:rPr>
        <w:t>represent</w:t>
      </w:r>
      <w:r w:rsidR="00D2252F" w:rsidRPr="00777073">
        <w:rPr>
          <w:rFonts w:ascii="Times New Roman" w:hAnsi="Times New Roman" w:cs="Times New Roman"/>
          <w:sz w:val="24"/>
          <w:szCs w:val="24"/>
        </w:rPr>
        <w:t>s</w:t>
      </w:r>
      <w:r w:rsidR="001D650C" w:rsidRPr="00777073">
        <w:rPr>
          <w:rFonts w:ascii="Times New Roman" w:hAnsi="Times New Roman" w:cs="Times New Roman"/>
          <w:sz w:val="24"/>
          <w:szCs w:val="24"/>
        </w:rPr>
        <w:t xml:space="preserve"> a decrease in the successfu</w:t>
      </w:r>
      <w:r w:rsidR="00902B10" w:rsidRPr="00777073">
        <w:rPr>
          <w:rFonts w:ascii="Times New Roman" w:hAnsi="Times New Roman" w:cs="Times New Roman"/>
          <w:sz w:val="24"/>
          <w:szCs w:val="24"/>
        </w:rPr>
        <w:t>l glidepath</w:t>
      </w:r>
      <w:r w:rsidR="00D2252F" w:rsidRPr="00777073">
        <w:rPr>
          <w:rFonts w:ascii="Times New Roman" w:hAnsi="Times New Roman" w:cs="Times New Roman"/>
          <w:sz w:val="24"/>
          <w:szCs w:val="24"/>
        </w:rPr>
        <w:t xml:space="preserve"> as compared to prior years</w:t>
      </w:r>
      <w:r w:rsidR="001D650C" w:rsidRPr="00777073">
        <w:rPr>
          <w:rFonts w:ascii="Times New Roman" w:hAnsi="Times New Roman" w:cs="Times New Roman"/>
          <w:sz w:val="24"/>
          <w:szCs w:val="24"/>
        </w:rPr>
        <w:t>,</w:t>
      </w:r>
      <w:r w:rsidR="00D2252F" w:rsidRPr="00777073">
        <w:rPr>
          <w:rFonts w:ascii="Times New Roman" w:hAnsi="Times New Roman" w:cs="Times New Roman"/>
          <w:sz w:val="24"/>
          <w:szCs w:val="24"/>
        </w:rPr>
        <w:t xml:space="preserve"> but</w:t>
      </w:r>
      <w:r w:rsidR="001D650C" w:rsidRPr="00777073">
        <w:rPr>
          <w:rFonts w:ascii="Times New Roman" w:hAnsi="Times New Roman" w:cs="Times New Roman"/>
          <w:sz w:val="24"/>
          <w:szCs w:val="24"/>
        </w:rPr>
        <w:t xml:space="preserve"> </w:t>
      </w:r>
      <w:r w:rsidR="00902B10" w:rsidRPr="00777073">
        <w:rPr>
          <w:rFonts w:ascii="Times New Roman" w:hAnsi="Times New Roman" w:cs="Times New Roman"/>
          <w:sz w:val="24"/>
          <w:szCs w:val="24"/>
        </w:rPr>
        <w:t>the result may at least be</w:t>
      </w:r>
      <w:r w:rsidR="001D650C" w:rsidRPr="00777073">
        <w:rPr>
          <w:rFonts w:ascii="Times New Roman" w:hAnsi="Times New Roman" w:cs="Times New Roman"/>
          <w:sz w:val="24"/>
          <w:szCs w:val="24"/>
        </w:rPr>
        <w:t xml:space="preserve"> partly </w:t>
      </w:r>
      <w:r w:rsidR="00D2252F" w:rsidRPr="00777073">
        <w:rPr>
          <w:rFonts w:ascii="Times New Roman" w:hAnsi="Times New Roman" w:cs="Times New Roman"/>
          <w:sz w:val="24"/>
          <w:szCs w:val="24"/>
        </w:rPr>
        <w:t xml:space="preserve">due to new admission policies as described in this </w:t>
      </w:r>
      <w:r w:rsidR="00287FC3" w:rsidRPr="00777073">
        <w:rPr>
          <w:rFonts w:ascii="Times New Roman" w:hAnsi="Times New Roman" w:cs="Times New Roman"/>
          <w:sz w:val="24"/>
          <w:szCs w:val="24"/>
        </w:rPr>
        <w:t>report.</w:t>
      </w:r>
      <w:r w:rsidR="001D650C" w:rsidRPr="00777073">
        <w:rPr>
          <w:rFonts w:ascii="Times New Roman" w:hAnsi="Times New Roman" w:cs="Times New Roman"/>
          <w:sz w:val="24"/>
          <w:szCs w:val="24"/>
        </w:rPr>
        <w:t xml:space="preserve">  </w:t>
      </w:r>
      <w:r w:rsidR="00F640A3" w:rsidRPr="00777073">
        <w:rPr>
          <w:rFonts w:ascii="Times New Roman" w:hAnsi="Times New Roman" w:cs="Times New Roman"/>
          <w:sz w:val="24"/>
          <w:szCs w:val="24"/>
        </w:rPr>
        <w:t xml:space="preserve">The average </w:t>
      </w:r>
      <w:r w:rsidR="00902B10" w:rsidRPr="00777073">
        <w:rPr>
          <w:rFonts w:ascii="Times New Roman" w:hAnsi="Times New Roman" w:cs="Times New Roman"/>
          <w:sz w:val="24"/>
          <w:szCs w:val="24"/>
        </w:rPr>
        <w:t xml:space="preserve">mid-year </w:t>
      </w:r>
      <w:r w:rsidR="00F640A3" w:rsidRPr="00777073">
        <w:rPr>
          <w:rFonts w:ascii="Times New Roman" w:hAnsi="Times New Roman" w:cs="Times New Roman"/>
          <w:sz w:val="24"/>
          <w:szCs w:val="24"/>
        </w:rPr>
        <w:t xml:space="preserve">GPA of </w:t>
      </w:r>
      <w:r w:rsidR="00902B10" w:rsidRPr="00777073">
        <w:rPr>
          <w:rFonts w:ascii="Times New Roman" w:hAnsi="Times New Roman" w:cs="Times New Roman"/>
          <w:sz w:val="24"/>
          <w:szCs w:val="24"/>
        </w:rPr>
        <w:t xml:space="preserve">the overall CAS </w:t>
      </w:r>
      <w:r w:rsidR="001D650C" w:rsidRPr="00777073">
        <w:rPr>
          <w:rFonts w:ascii="Times New Roman" w:hAnsi="Times New Roman" w:cs="Times New Roman"/>
          <w:sz w:val="24"/>
          <w:szCs w:val="24"/>
        </w:rPr>
        <w:t xml:space="preserve">UND-N </w:t>
      </w:r>
      <w:r w:rsidR="00F640A3" w:rsidRPr="00777073">
        <w:rPr>
          <w:rFonts w:ascii="Times New Roman" w:hAnsi="Times New Roman" w:cs="Times New Roman"/>
          <w:sz w:val="24"/>
          <w:szCs w:val="24"/>
        </w:rPr>
        <w:t xml:space="preserve">cohort </w:t>
      </w:r>
      <w:r w:rsidR="00902B10" w:rsidRPr="00777073">
        <w:rPr>
          <w:rFonts w:ascii="Times New Roman" w:hAnsi="Times New Roman" w:cs="Times New Roman"/>
          <w:sz w:val="24"/>
          <w:szCs w:val="24"/>
        </w:rPr>
        <w:t>was</w:t>
      </w:r>
      <w:r w:rsidR="00F640A3" w:rsidRPr="00777073">
        <w:rPr>
          <w:rFonts w:ascii="Times New Roman" w:hAnsi="Times New Roman" w:cs="Times New Roman"/>
          <w:sz w:val="24"/>
          <w:szCs w:val="24"/>
        </w:rPr>
        <w:t xml:space="preserve"> </w:t>
      </w:r>
      <w:r w:rsidR="00287FC3" w:rsidRPr="00777073">
        <w:rPr>
          <w:rFonts w:ascii="Times New Roman" w:hAnsi="Times New Roman" w:cs="Times New Roman"/>
          <w:sz w:val="24"/>
          <w:szCs w:val="24"/>
        </w:rPr>
        <w:t>2.9.</w:t>
      </w:r>
    </w:p>
    <w:p w:rsidR="00DB7BDF" w:rsidRPr="00777073" w:rsidRDefault="00194AD0" w:rsidP="00194AD0">
      <w:p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b/>
          <w:sz w:val="24"/>
          <w:szCs w:val="24"/>
        </w:rPr>
        <w:t>E</w:t>
      </w:r>
      <w:r w:rsidR="00DB7BDF" w:rsidRPr="00777073">
        <w:rPr>
          <w:rFonts w:ascii="Times New Roman" w:hAnsi="Times New Roman" w:cs="Times New Roman"/>
          <w:b/>
          <w:sz w:val="24"/>
          <w:szCs w:val="24"/>
        </w:rPr>
        <w:t xml:space="preserve">ffective collaboration with Academic Services to </w:t>
      </w:r>
      <w:r w:rsidR="00D2252F" w:rsidRPr="00777073">
        <w:rPr>
          <w:rFonts w:ascii="Times New Roman" w:hAnsi="Times New Roman" w:cs="Times New Roman"/>
          <w:b/>
          <w:sz w:val="24"/>
          <w:szCs w:val="24"/>
        </w:rPr>
        <w:t xml:space="preserve">review probation interventions and to </w:t>
      </w:r>
      <w:r w:rsidR="00DB7BDF" w:rsidRPr="00777073">
        <w:rPr>
          <w:rFonts w:ascii="Times New Roman" w:hAnsi="Times New Roman" w:cs="Times New Roman"/>
          <w:b/>
          <w:sz w:val="24"/>
          <w:szCs w:val="24"/>
        </w:rPr>
        <w:t xml:space="preserve">collect and </w:t>
      </w:r>
      <w:r w:rsidRPr="00777073">
        <w:rPr>
          <w:rFonts w:ascii="Times New Roman" w:hAnsi="Times New Roman" w:cs="Times New Roman"/>
          <w:b/>
          <w:sz w:val="24"/>
          <w:szCs w:val="24"/>
        </w:rPr>
        <w:t xml:space="preserve">share </w:t>
      </w:r>
      <w:r w:rsidR="00DB7BDF" w:rsidRPr="00777073">
        <w:rPr>
          <w:rFonts w:ascii="Times New Roman" w:hAnsi="Times New Roman" w:cs="Times New Roman"/>
          <w:b/>
          <w:sz w:val="24"/>
          <w:szCs w:val="24"/>
        </w:rPr>
        <w:t>data</w:t>
      </w:r>
      <w:r w:rsidRPr="00777073">
        <w:rPr>
          <w:rFonts w:ascii="Times New Roman" w:hAnsi="Times New Roman" w:cs="Times New Roman"/>
          <w:b/>
          <w:sz w:val="24"/>
          <w:szCs w:val="24"/>
        </w:rPr>
        <w:t xml:space="preserve"> should emerge as a best practice</w:t>
      </w:r>
      <w:r w:rsidR="00DB7BDF" w:rsidRPr="00777073">
        <w:rPr>
          <w:rFonts w:ascii="Times New Roman" w:hAnsi="Times New Roman" w:cs="Times New Roman"/>
          <w:b/>
          <w:sz w:val="24"/>
          <w:szCs w:val="24"/>
        </w:rPr>
        <w:t>:</w:t>
      </w:r>
      <w:r w:rsidR="00DB7BDF" w:rsidRPr="00777073">
        <w:rPr>
          <w:rFonts w:ascii="Times New Roman" w:hAnsi="Times New Roman" w:cs="Times New Roman"/>
          <w:sz w:val="24"/>
          <w:szCs w:val="24"/>
        </w:rPr>
        <w:t xml:space="preserve">  Meetings with Academic Services revealed the need for more systematized data collection and tracking between our two offices, to ensure that students are following up on advising interventions with meaningful academic support experiences.</w:t>
      </w:r>
    </w:p>
    <w:p w:rsidR="009866A8" w:rsidRPr="00777073" w:rsidRDefault="009866A8" w:rsidP="00194AD0">
      <w:p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b/>
          <w:sz w:val="24"/>
          <w:szCs w:val="24"/>
        </w:rPr>
        <w:t>Turnover in advising must be addressed:</w:t>
      </w:r>
      <w:r w:rsidRPr="00777073">
        <w:rPr>
          <w:rFonts w:ascii="Times New Roman" w:hAnsi="Times New Roman" w:cs="Times New Roman"/>
          <w:sz w:val="24"/>
          <w:szCs w:val="24"/>
        </w:rPr>
        <w:t xml:space="preserve">  While we have determined there are a variety of reasons that may indicate why staff and the position are not a successful fit</w:t>
      </w:r>
      <w:r w:rsidR="00457718" w:rsidRPr="00777073">
        <w:rPr>
          <w:rFonts w:ascii="Times New Roman" w:hAnsi="Times New Roman" w:cs="Times New Roman"/>
          <w:sz w:val="24"/>
          <w:szCs w:val="24"/>
        </w:rPr>
        <w:t>, we should explore better mechanisms for</w:t>
      </w:r>
      <w:r w:rsidR="00AF52E9" w:rsidRPr="00777073">
        <w:rPr>
          <w:rFonts w:ascii="Times New Roman" w:hAnsi="Times New Roman" w:cs="Times New Roman"/>
          <w:sz w:val="24"/>
          <w:szCs w:val="24"/>
        </w:rPr>
        <w:t xml:space="preserve"> hiring and retaining talent to</w:t>
      </w:r>
      <w:r w:rsidR="00457718" w:rsidRPr="00777073">
        <w:rPr>
          <w:rFonts w:ascii="Times New Roman" w:hAnsi="Times New Roman" w:cs="Times New Roman"/>
          <w:sz w:val="24"/>
          <w:szCs w:val="24"/>
        </w:rPr>
        <w:t xml:space="preserve"> establish greater stability in this office.  Advisors have requested more opportunities for professional growth and challenge; we hope to seek institutionally viable ways to provide these </w:t>
      </w:r>
      <w:r w:rsidR="00AF52E9" w:rsidRPr="00777073">
        <w:rPr>
          <w:rFonts w:ascii="Times New Roman" w:hAnsi="Times New Roman" w:cs="Times New Roman"/>
          <w:sz w:val="24"/>
          <w:szCs w:val="24"/>
        </w:rPr>
        <w:t xml:space="preserve">development </w:t>
      </w:r>
      <w:r w:rsidR="00457718" w:rsidRPr="00777073">
        <w:rPr>
          <w:rFonts w:ascii="Times New Roman" w:hAnsi="Times New Roman" w:cs="Times New Roman"/>
          <w:sz w:val="24"/>
          <w:szCs w:val="24"/>
        </w:rPr>
        <w:t>opportunities.</w:t>
      </w:r>
    </w:p>
    <w:p w:rsidR="00F640A3" w:rsidRPr="00777073" w:rsidRDefault="00DF0E63" w:rsidP="00F640A3">
      <w:pPr>
        <w:shd w:val="clear" w:color="auto" w:fill="FFFFFF"/>
        <w:spacing w:before="100" w:beforeAutospacing="1" w:after="270"/>
        <w:rPr>
          <w:rFonts w:ascii="Times New Roman" w:hAnsi="Times New Roman" w:cs="Times New Roman"/>
          <w:sz w:val="24"/>
          <w:szCs w:val="24"/>
          <w:u w:val="single"/>
        </w:rPr>
      </w:pPr>
      <w:r w:rsidRPr="00777073">
        <w:rPr>
          <w:rFonts w:ascii="Times New Roman" w:hAnsi="Times New Roman" w:cs="Times New Roman"/>
          <w:sz w:val="24"/>
          <w:szCs w:val="24"/>
          <w:u w:val="single"/>
        </w:rPr>
        <w:t>Key Recommendations</w:t>
      </w:r>
    </w:p>
    <w:p w:rsidR="00DB7BDF" w:rsidRPr="00777073" w:rsidRDefault="00DB7BDF" w:rsidP="00DF0E63">
      <w:pPr>
        <w:pStyle w:val="ListParagraph"/>
        <w:numPr>
          <w:ilvl w:val="0"/>
          <w:numId w:val="17"/>
        </w:num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sz w:val="24"/>
          <w:szCs w:val="24"/>
        </w:rPr>
        <w:t xml:space="preserve">Continue </w:t>
      </w:r>
      <w:r w:rsidR="005C29AB" w:rsidRPr="00777073">
        <w:rPr>
          <w:rFonts w:ascii="Times New Roman" w:hAnsi="Times New Roman" w:cs="Times New Roman"/>
          <w:sz w:val="24"/>
          <w:szCs w:val="24"/>
        </w:rPr>
        <w:t>to develop and track</w:t>
      </w:r>
      <w:r w:rsidRPr="00777073">
        <w:rPr>
          <w:rFonts w:ascii="Times New Roman" w:hAnsi="Times New Roman" w:cs="Times New Roman"/>
          <w:sz w:val="24"/>
          <w:szCs w:val="24"/>
        </w:rPr>
        <w:t xml:space="preserve"> effective interventions for probationary students, in closer collaboration with Academic Services;</w:t>
      </w:r>
    </w:p>
    <w:p w:rsidR="000C42C9" w:rsidRPr="00777073" w:rsidRDefault="009866A8" w:rsidP="00DF0E63">
      <w:pPr>
        <w:pStyle w:val="ListParagraph"/>
        <w:numPr>
          <w:ilvl w:val="0"/>
          <w:numId w:val="17"/>
        </w:num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sz w:val="24"/>
          <w:szCs w:val="24"/>
        </w:rPr>
        <w:t>Promote</w:t>
      </w:r>
      <w:r w:rsidR="00DB7BDF" w:rsidRPr="00777073">
        <w:rPr>
          <w:rFonts w:ascii="Times New Roman" w:hAnsi="Times New Roman" w:cs="Times New Roman"/>
          <w:sz w:val="24"/>
          <w:szCs w:val="24"/>
        </w:rPr>
        <w:t xml:space="preserve"> </w:t>
      </w:r>
      <w:r w:rsidR="00DF0E63" w:rsidRPr="00777073">
        <w:rPr>
          <w:rFonts w:ascii="Times New Roman" w:hAnsi="Times New Roman" w:cs="Times New Roman"/>
          <w:sz w:val="24"/>
          <w:szCs w:val="24"/>
        </w:rPr>
        <w:t xml:space="preserve">student </w:t>
      </w:r>
      <w:r w:rsidR="00DB7BDF" w:rsidRPr="00777073">
        <w:rPr>
          <w:rFonts w:ascii="Times New Roman" w:hAnsi="Times New Roman" w:cs="Times New Roman"/>
          <w:sz w:val="24"/>
          <w:szCs w:val="24"/>
        </w:rPr>
        <w:t xml:space="preserve">attendance at </w:t>
      </w:r>
      <w:r w:rsidR="00DF0E63" w:rsidRPr="00777073">
        <w:rPr>
          <w:rFonts w:ascii="Times New Roman" w:hAnsi="Times New Roman" w:cs="Times New Roman"/>
          <w:sz w:val="24"/>
          <w:szCs w:val="24"/>
        </w:rPr>
        <w:t>workshops and training</w:t>
      </w:r>
      <w:r w:rsidR="003E1FA3" w:rsidRPr="00777073">
        <w:rPr>
          <w:rFonts w:ascii="Times New Roman" w:hAnsi="Times New Roman" w:cs="Times New Roman"/>
          <w:sz w:val="24"/>
          <w:szCs w:val="24"/>
        </w:rPr>
        <w:t>s</w:t>
      </w:r>
      <w:r w:rsidR="00DF0E63" w:rsidRPr="00777073">
        <w:rPr>
          <w:rFonts w:ascii="Times New Roman" w:hAnsi="Times New Roman" w:cs="Times New Roman"/>
          <w:sz w:val="24"/>
          <w:szCs w:val="24"/>
        </w:rPr>
        <w:t xml:space="preserve"> on time management</w:t>
      </w:r>
      <w:r w:rsidR="000C42C9" w:rsidRPr="00777073">
        <w:rPr>
          <w:rFonts w:ascii="Times New Roman" w:hAnsi="Times New Roman" w:cs="Times New Roman"/>
          <w:sz w:val="24"/>
          <w:szCs w:val="24"/>
        </w:rPr>
        <w:t xml:space="preserve">, </w:t>
      </w:r>
      <w:r w:rsidR="00DB7BDF" w:rsidRPr="00777073">
        <w:rPr>
          <w:rFonts w:ascii="Times New Roman" w:hAnsi="Times New Roman" w:cs="Times New Roman"/>
          <w:sz w:val="24"/>
          <w:szCs w:val="24"/>
        </w:rPr>
        <w:t xml:space="preserve">going to class, </w:t>
      </w:r>
      <w:r w:rsidR="001D650C" w:rsidRPr="00777073">
        <w:rPr>
          <w:rFonts w:ascii="Times New Roman" w:hAnsi="Times New Roman" w:cs="Times New Roman"/>
          <w:sz w:val="24"/>
          <w:szCs w:val="24"/>
        </w:rPr>
        <w:t>completing assignments, and study skills</w:t>
      </w:r>
      <w:r w:rsidR="005C29AB" w:rsidRPr="00777073">
        <w:rPr>
          <w:rFonts w:ascii="Times New Roman" w:hAnsi="Times New Roman" w:cs="Times New Roman"/>
          <w:sz w:val="24"/>
          <w:szCs w:val="24"/>
        </w:rPr>
        <w:t>, again in closer collaboration with Academic Services;</w:t>
      </w:r>
    </w:p>
    <w:p w:rsidR="00DF0E63" w:rsidRPr="00777073" w:rsidRDefault="00D77896" w:rsidP="00DF0E63">
      <w:pPr>
        <w:pStyle w:val="ListParagraph"/>
        <w:numPr>
          <w:ilvl w:val="0"/>
          <w:numId w:val="17"/>
        </w:num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sz w:val="24"/>
          <w:szCs w:val="24"/>
        </w:rPr>
        <w:t>Increase</w:t>
      </w:r>
      <w:r w:rsidR="000C42C9" w:rsidRPr="00777073">
        <w:rPr>
          <w:rFonts w:ascii="Times New Roman" w:hAnsi="Times New Roman" w:cs="Times New Roman"/>
          <w:sz w:val="24"/>
          <w:szCs w:val="24"/>
        </w:rPr>
        <w:t xml:space="preserve"> </w:t>
      </w:r>
      <w:r w:rsidR="00DF0E63" w:rsidRPr="00777073">
        <w:rPr>
          <w:rFonts w:ascii="Times New Roman" w:hAnsi="Times New Roman" w:cs="Times New Roman"/>
          <w:sz w:val="24"/>
          <w:szCs w:val="24"/>
        </w:rPr>
        <w:t xml:space="preserve">communication </w:t>
      </w:r>
      <w:r w:rsidR="005C29AB" w:rsidRPr="00777073">
        <w:rPr>
          <w:rFonts w:ascii="Times New Roman" w:hAnsi="Times New Roman" w:cs="Times New Roman"/>
          <w:sz w:val="24"/>
          <w:szCs w:val="24"/>
        </w:rPr>
        <w:t xml:space="preserve">to all constituencies regarding </w:t>
      </w:r>
      <w:r w:rsidR="00DF0E63" w:rsidRPr="00777073">
        <w:rPr>
          <w:rFonts w:ascii="Times New Roman" w:hAnsi="Times New Roman" w:cs="Times New Roman"/>
          <w:sz w:val="24"/>
          <w:szCs w:val="24"/>
        </w:rPr>
        <w:t xml:space="preserve">the nature and scope of </w:t>
      </w:r>
      <w:r w:rsidR="000C42C9" w:rsidRPr="00777073">
        <w:rPr>
          <w:rFonts w:ascii="Times New Roman" w:hAnsi="Times New Roman" w:cs="Times New Roman"/>
          <w:sz w:val="24"/>
          <w:szCs w:val="24"/>
        </w:rPr>
        <w:t xml:space="preserve">Triage </w:t>
      </w:r>
      <w:r w:rsidR="00DF0E63" w:rsidRPr="00777073">
        <w:rPr>
          <w:rFonts w:ascii="Times New Roman" w:hAnsi="Times New Roman" w:cs="Times New Roman"/>
          <w:sz w:val="24"/>
          <w:szCs w:val="24"/>
        </w:rPr>
        <w:t>s</w:t>
      </w:r>
      <w:r w:rsidR="005C29AB" w:rsidRPr="00777073">
        <w:rPr>
          <w:rFonts w:ascii="Times New Roman" w:hAnsi="Times New Roman" w:cs="Times New Roman"/>
          <w:sz w:val="24"/>
          <w:szCs w:val="24"/>
        </w:rPr>
        <w:t>ervices;</w:t>
      </w:r>
    </w:p>
    <w:p w:rsidR="00B2109F" w:rsidRPr="00777073" w:rsidRDefault="00B2109F" w:rsidP="00DF0E63">
      <w:pPr>
        <w:pStyle w:val="ListParagraph"/>
        <w:numPr>
          <w:ilvl w:val="0"/>
          <w:numId w:val="17"/>
        </w:num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sz w:val="24"/>
          <w:szCs w:val="24"/>
        </w:rPr>
        <w:t xml:space="preserve">Increase communication </w:t>
      </w:r>
      <w:r w:rsidR="005C29AB" w:rsidRPr="00777073">
        <w:rPr>
          <w:rFonts w:ascii="Times New Roman" w:hAnsi="Times New Roman" w:cs="Times New Roman"/>
          <w:sz w:val="24"/>
          <w:szCs w:val="24"/>
        </w:rPr>
        <w:t>with</w:t>
      </w:r>
      <w:r w:rsidRPr="00777073">
        <w:rPr>
          <w:rFonts w:ascii="Times New Roman" w:hAnsi="Times New Roman" w:cs="Times New Roman"/>
          <w:sz w:val="24"/>
          <w:szCs w:val="24"/>
        </w:rPr>
        <w:t xml:space="preserve"> faculty </w:t>
      </w:r>
      <w:r w:rsidR="005C29AB" w:rsidRPr="00777073">
        <w:rPr>
          <w:rFonts w:ascii="Times New Roman" w:hAnsi="Times New Roman" w:cs="Times New Roman"/>
          <w:sz w:val="24"/>
          <w:szCs w:val="24"/>
        </w:rPr>
        <w:t>regarding</w:t>
      </w:r>
      <w:r w:rsidRPr="00777073">
        <w:rPr>
          <w:rFonts w:ascii="Times New Roman" w:hAnsi="Times New Roman" w:cs="Times New Roman"/>
          <w:sz w:val="24"/>
          <w:szCs w:val="24"/>
        </w:rPr>
        <w:t xml:space="preserve"> the purpose and importance of the CAS alert system</w:t>
      </w:r>
      <w:r w:rsidR="005C29AB" w:rsidRPr="00777073">
        <w:rPr>
          <w:rFonts w:ascii="Times New Roman" w:hAnsi="Times New Roman" w:cs="Times New Roman"/>
          <w:sz w:val="24"/>
          <w:szCs w:val="24"/>
        </w:rPr>
        <w:t>;</w:t>
      </w:r>
    </w:p>
    <w:p w:rsidR="00DF0E63" w:rsidRPr="00777073" w:rsidRDefault="00D77896" w:rsidP="00DF0E63">
      <w:pPr>
        <w:pStyle w:val="ListParagraph"/>
        <w:numPr>
          <w:ilvl w:val="0"/>
          <w:numId w:val="17"/>
        </w:numPr>
        <w:shd w:val="clear" w:color="auto" w:fill="FFFFFF"/>
        <w:spacing w:before="100" w:beforeAutospacing="1" w:after="270"/>
        <w:rPr>
          <w:rFonts w:ascii="Times New Roman" w:hAnsi="Times New Roman" w:cs="Times New Roman"/>
          <w:b/>
          <w:sz w:val="24"/>
          <w:szCs w:val="24"/>
          <w:u w:val="single"/>
        </w:rPr>
      </w:pPr>
      <w:r w:rsidRPr="00777073">
        <w:rPr>
          <w:rFonts w:ascii="Times New Roman" w:hAnsi="Times New Roman" w:cs="Times New Roman"/>
          <w:sz w:val="24"/>
          <w:szCs w:val="24"/>
        </w:rPr>
        <w:lastRenderedPageBreak/>
        <w:t>Communicate new policies and admission processes to the</w:t>
      </w:r>
      <w:r w:rsidR="00DF0E63" w:rsidRPr="00777073">
        <w:rPr>
          <w:rFonts w:ascii="Times New Roman" w:hAnsi="Times New Roman" w:cs="Times New Roman"/>
          <w:sz w:val="24"/>
          <w:szCs w:val="24"/>
        </w:rPr>
        <w:t xml:space="preserve"> UND-N cohort, including procedures for assisting students to raise their GPAs</w:t>
      </w:r>
      <w:r w:rsidR="003E1FA3" w:rsidRPr="00777073">
        <w:rPr>
          <w:rFonts w:ascii="Times New Roman" w:hAnsi="Times New Roman" w:cs="Times New Roman"/>
          <w:sz w:val="24"/>
          <w:szCs w:val="24"/>
        </w:rPr>
        <w:t xml:space="preserve"> and TEAS scores</w:t>
      </w:r>
      <w:r w:rsidR="005C29AB" w:rsidRPr="00777073">
        <w:rPr>
          <w:rFonts w:ascii="Times New Roman" w:hAnsi="Times New Roman" w:cs="Times New Roman"/>
          <w:sz w:val="24"/>
          <w:szCs w:val="24"/>
        </w:rPr>
        <w:t>;</w:t>
      </w:r>
    </w:p>
    <w:p w:rsidR="00DF0E63" w:rsidRPr="00777073" w:rsidRDefault="000C42C9" w:rsidP="00DF0E63">
      <w:pPr>
        <w:pStyle w:val="ListParagraph"/>
        <w:numPr>
          <w:ilvl w:val="0"/>
          <w:numId w:val="17"/>
        </w:numPr>
        <w:shd w:val="clear" w:color="auto" w:fill="FFFFFF"/>
        <w:spacing w:before="100" w:beforeAutospacing="1" w:after="270"/>
        <w:rPr>
          <w:rFonts w:ascii="Times New Roman" w:hAnsi="Times New Roman" w:cs="Times New Roman"/>
          <w:b/>
          <w:sz w:val="24"/>
          <w:szCs w:val="24"/>
          <w:u w:val="single"/>
        </w:rPr>
      </w:pPr>
      <w:r w:rsidRPr="00777073">
        <w:rPr>
          <w:rFonts w:ascii="Times New Roman" w:hAnsi="Times New Roman" w:cs="Times New Roman"/>
          <w:sz w:val="24"/>
          <w:szCs w:val="24"/>
        </w:rPr>
        <w:t xml:space="preserve">Add professional advising staff as the </w:t>
      </w:r>
      <w:r w:rsidR="003E1FA3" w:rsidRPr="00777073">
        <w:rPr>
          <w:rFonts w:ascii="Times New Roman" w:hAnsi="Times New Roman" w:cs="Times New Roman"/>
          <w:sz w:val="24"/>
          <w:szCs w:val="24"/>
        </w:rPr>
        <w:t xml:space="preserve">volume </w:t>
      </w:r>
      <w:r w:rsidRPr="00777073">
        <w:rPr>
          <w:rFonts w:ascii="Times New Roman" w:hAnsi="Times New Roman" w:cs="Times New Roman"/>
          <w:sz w:val="24"/>
          <w:szCs w:val="24"/>
        </w:rPr>
        <w:t>and complexity of the CAS student population grows</w:t>
      </w:r>
      <w:r w:rsidR="005C29AB" w:rsidRPr="00777073">
        <w:rPr>
          <w:rFonts w:ascii="Times New Roman" w:hAnsi="Times New Roman" w:cs="Times New Roman"/>
          <w:sz w:val="24"/>
          <w:szCs w:val="24"/>
        </w:rPr>
        <w:t>;</w:t>
      </w:r>
    </w:p>
    <w:p w:rsidR="000C42C9" w:rsidRPr="00777073" w:rsidRDefault="000C42C9" w:rsidP="00DF0E63">
      <w:pPr>
        <w:pStyle w:val="ListParagraph"/>
        <w:numPr>
          <w:ilvl w:val="0"/>
          <w:numId w:val="17"/>
        </w:numPr>
        <w:shd w:val="clear" w:color="auto" w:fill="FFFFFF"/>
        <w:spacing w:before="100" w:beforeAutospacing="1" w:after="270"/>
        <w:rPr>
          <w:rFonts w:ascii="Times New Roman" w:hAnsi="Times New Roman" w:cs="Times New Roman"/>
          <w:b/>
          <w:sz w:val="24"/>
          <w:szCs w:val="24"/>
          <w:u w:val="single"/>
        </w:rPr>
      </w:pPr>
      <w:r w:rsidRPr="00777073">
        <w:rPr>
          <w:rFonts w:ascii="Times New Roman" w:hAnsi="Times New Roman" w:cs="Times New Roman"/>
          <w:sz w:val="24"/>
          <w:szCs w:val="24"/>
        </w:rPr>
        <w:t>Enhance advising professional development</w:t>
      </w:r>
      <w:r w:rsidR="003E1FA3" w:rsidRPr="00777073">
        <w:rPr>
          <w:rFonts w:ascii="Times New Roman" w:hAnsi="Times New Roman" w:cs="Times New Roman"/>
          <w:sz w:val="24"/>
          <w:szCs w:val="24"/>
        </w:rPr>
        <w:t>.</w:t>
      </w:r>
    </w:p>
    <w:p w:rsidR="00077D10" w:rsidRPr="00777073" w:rsidRDefault="000C42C9" w:rsidP="00AD5C73">
      <w:pPr>
        <w:jc w:val="center"/>
        <w:rPr>
          <w:rFonts w:ascii="Times New Roman" w:hAnsi="Times New Roman" w:cs="Times New Roman"/>
          <w:b/>
          <w:sz w:val="24"/>
          <w:szCs w:val="24"/>
        </w:rPr>
      </w:pPr>
      <w:r w:rsidRPr="00777073">
        <w:rPr>
          <w:rFonts w:ascii="Times New Roman" w:hAnsi="Times New Roman" w:cs="Times New Roman"/>
          <w:b/>
          <w:sz w:val="24"/>
          <w:szCs w:val="24"/>
        </w:rPr>
        <w:t>I</w:t>
      </w:r>
      <w:r w:rsidR="00077D10" w:rsidRPr="00777073">
        <w:rPr>
          <w:rFonts w:ascii="Times New Roman" w:hAnsi="Times New Roman" w:cs="Times New Roman"/>
          <w:b/>
          <w:sz w:val="24"/>
          <w:szCs w:val="24"/>
        </w:rPr>
        <w:t>ntroduction</w:t>
      </w:r>
    </w:p>
    <w:p w:rsidR="002F21A9" w:rsidRPr="00777073" w:rsidRDefault="00471343" w:rsidP="00471343">
      <w:p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sz w:val="24"/>
          <w:szCs w:val="24"/>
        </w:rPr>
        <w:t>Academic advising at</w:t>
      </w:r>
      <w:r w:rsidR="002F21A9" w:rsidRPr="00777073">
        <w:rPr>
          <w:rFonts w:ascii="Times New Roman" w:hAnsi="Times New Roman" w:cs="Times New Roman"/>
          <w:sz w:val="24"/>
          <w:szCs w:val="24"/>
        </w:rPr>
        <w:t xml:space="preserve"> the</w:t>
      </w:r>
      <w:r w:rsidRPr="00777073">
        <w:rPr>
          <w:rFonts w:ascii="Times New Roman" w:hAnsi="Times New Roman" w:cs="Times New Roman"/>
          <w:sz w:val="24"/>
          <w:szCs w:val="24"/>
        </w:rPr>
        <w:t xml:space="preserve"> Trinity Washington University College of Arts and Sciences provides comprehensive, proactive retention services for </w:t>
      </w:r>
      <w:r w:rsidR="0089686B" w:rsidRPr="00777073">
        <w:rPr>
          <w:rFonts w:ascii="Times New Roman" w:hAnsi="Times New Roman" w:cs="Times New Roman"/>
          <w:sz w:val="24"/>
          <w:szCs w:val="24"/>
        </w:rPr>
        <w:t xml:space="preserve">all </w:t>
      </w:r>
      <w:r w:rsidRPr="00777073">
        <w:rPr>
          <w:rFonts w:ascii="Times New Roman" w:hAnsi="Times New Roman" w:cs="Times New Roman"/>
          <w:sz w:val="24"/>
          <w:szCs w:val="24"/>
        </w:rPr>
        <w:t>students enrolled in Trinity’s histori</w:t>
      </w:r>
      <w:r w:rsidR="0089686B" w:rsidRPr="00777073">
        <w:rPr>
          <w:rFonts w:ascii="Times New Roman" w:hAnsi="Times New Roman" w:cs="Times New Roman"/>
          <w:sz w:val="24"/>
          <w:szCs w:val="24"/>
        </w:rPr>
        <w:t>c undergraduate women’s college, with a focus on the most academically vulnerable.</w:t>
      </w:r>
      <w:r w:rsidRPr="00777073">
        <w:rPr>
          <w:rFonts w:ascii="Times New Roman" w:hAnsi="Times New Roman" w:cs="Times New Roman"/>
          <w:sz w:val="24"/>
          <w:szCs w:val="24"/>
        </w:rPr>
        <w:t xml:space="preserve"> </w:t>
      </w:r>
      <w:r w:rsidR="00194AD0" w:rsidRPr="00777073">
        <w:rPr>
          <w:rFonts w:ascii="Times New Roman" w:hAnsi="Times New Roman" w:cs="Times New Roman"/>
          <w:sz w:val="24"/>
          <w:szCs w:val="24"/>
        </w:rPr>
        <w:t>T</w:t>
      </w:r>
      <w:r w:rsidRPr="00777073">
        <w:rPr>
          <w:rFonts w:ascii="Times New Roman" w:hAnsi="Times New Roman" w:cs="Times New Roman"/>
          <w:sz w:val="24"/>
          <w:szCs w:val="24"/>
        </w:rPr>
        <w:t>he Advising team</w:t>
      </w:r>
      <w:r w:rsidR="00194AD0" w:rsidRPr="00777073">
        <w:rPr>
          <w:rFonts w:ascii="Times New Roman" w:hAnsi="Times New Roman" w:cs="Times New Roman"/>
          <w:sz w:val="24"/>
          <w:szCs w:val="24"/>
        </w:rPr>
        <w:t xml:space="preserve"> forms</w:t>
      </w:r>
      <w:r w:rsidRPr="00777073">
        <w:rPr>
          <w:rFonts w:ascii="Times New Roman" w:hAnsi="Times New Roman" w:cs="Times New Roman"/>
          <w:sz w:val="24"/>
          <w:szCs w:val="24"/>
        </w:rPr>
        <w:t xml:space="preserve"> part of the decanal team </w:t>
      </w:r>
      <w:r w:rsidR="00F159B8" w:rsidRPr="00777073">
        <w:rPr>
          <w:rFonts w:ascii="Times New Roman" w:hAnsi="Times New Roman" w:cs="Times New Roman"/>
          <w:sz w:val="24"/>
          <w:szCs w:val="24"/>
        </w:rPr>
        <w:t>overseen by</w:t>
      </w:r>
      <w:r w:rsidRPr="00777073">
        <w:rPr>
          <w:rFonts w:ascii="Times New Roman" w:hAnsi="Times New Roman" w:cs="Times New Roman"/>
          <w:sz w:val="24"/>
          <w:szCs w:val="24"/>
        </w:rPr>
        <w:t xml:space="preserve"> the Dean of the College</w:t>
      </w:r>
      <w:r w:rsidR="00194AD0" w:rsidRPr="00777073">
        <w:rPr>
          <w:rFonts w:ascii="Times New Roman" w:hAnsi="Times New Roman" w:cs="Times New Roman"/>
          <w:sz w:val="24"/>
          <w:szCs w:val="24"/>
        </w:rPr>
        <w:t>, and in the past academic year reported to the Associate Dean of the College of Arts and Sciences</w:t>
      </w:r>
      <w:r w:rsidRPr="00777073">
        <w:rPr>
          <w:rFonts w:ascii="Times New Roman" w:hAnsi="Times New Roman" w:cs="Times New Roman"/>
          <w:sz w:val="24"/>
          <w:szCs w:val="24"/>
        </w:rPr>
        <w:t xml:space="preserve">.  Advising </w:t>
      </w:r>
      <w:r w:rsidRPr="00777073">
        <w:rPr>
          <w:rFonts w:ascii="Times New Roman" w:hAnsi="Times New Roman" w:cs="Times New Roman"/>
          <w:iCs/>
          <w:sz w:val="24"/>
          <w:szCs w:val="24"/>
        </w:rPr>
        <w:t xml:space="preserve">liaises between Trinity students and the University’s academic programs and ensures that </w:t>
      </w:r>
      <w:r w:rsidRPr="00777073">
        <w:rPr>
          <w:rFonts w:ascii="Times New Roman" w:hAnsi="Times New Roman" w:cs="Times New Roman"/>
          <w:sz w:val="24"/>
          <w:szCs w:val="24"/>
        </w:rPr>
        <w:t>Trinity students receive the attention they require with</w:t>
      </w:r>
      <w:r w:rsidR="00812197" w:rsidRPr="00777073">
        <w:rPr>
          <w:rFonts w:ascii="Times New Roman" w:hAnsi="Times New Roman" w:cs="Times New Roman"/>
          <w:sz w:val="24"/>
          <w:szCs w:val="24"/>
        </w:rPr>
        <w:t xml:space="preserve"> regard to academic planning, </w:t>
      </w:r>
      <w:r w:rsidR="00AD5C73" w:rsidRPr="00777073">
        <w:rPr>
          <w:rFonts w:ascii="Times New Roman" w:hAnsi="Times New Roman" w:cs="Times New Roman"/>
          <w:sz w:val="24"/>
          <w:szCs w:val="24"/>
        </w:rPr>
        <w:t xml:space="preserve">understanding and complying with </w:t>
      </w:r>
      <w:r w:rsidRPr="00777073">
        <w:rPr>
          <w:rFonts w:ascii="Times New Roman" w:hAnsi="Times New Roman" w:cs="Times New Roman"/>
          <w:sz w:val="24"/>
          <w:szCs w:val="24"/>
        </w:rPr>
        <w:t>adm</w:t>
      </w:r>
      <w:r w:rsidR="00812197" w:rsidRPr="00777073">
        <w:rPr>
          <w:rFonts w:ascii="Times New Roman" w:hAnsi="Times New Roman" w:cs="Times New Roman"/>
          <w:sz w:val="24"/>
          <w:szCs w:val="24"/>
        </w:rPr>
        <w:t xml:space="preserve">inistrative policies/procedures, and </w:t>
      </w:r>
      <w:r w:rsidR="00B42B97" w:rsidRPr="00777073">
        <w:rPr>
          <w:rFonts w:ascii="Times New Roman" w:hAnsi="Times New Roman" w:cs="Times New Roman"/>
          <w:sz w:val="24"/>
          <w:szCs w:val="24"/>
        </w:rPr>
        <w:t>referral</w:t>
      </w:r>
      <w:r w:rsidR="00812197" w:rsidRPr="00777073">
        <w:rPr>
          <w:rFonts w:ascii="Times New Roman" w:hAnsi="Times New Roman" w:cs="Times New Roman"/>
          <w:sz w:val="24"/>
          <w:szCs w:val="24"/>
        </w:rPr>
        <w:t xml:space="preserve"> to additional campus support offices as necessary.</w:t>
      </w:r>
    </w:p>
    <w:p w:rsidR="00AD5C73" w:rsidRPr="00777073" w:rsidRDefault="00F159B8" w:rsidP="00471343">
      <w:p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sz w:val="24"/>
          <w:szCs w:val="24"/>
        </w:rPr>
        <w:t>Trinity</w:t>
      </w:r>
      <w:r w:rsidR="002F21A9" w:rsidRPr="00777073">
        <w:rPr>
          <w:rFonts w:ascii="Times New Roman" w:hAnsi="Times New Roman" w:cs="Times New Roman"/>
          <w:sz w:val="24"/>
          <w:szCs w:val="24"/>
        </w:rPr>
        <w:t>’</w:t>
      </w:r>
      <w:r w:rsidR="006E582A" w:rsidRPr="00777073">
        <w:rPr>
          <w:rFonts w:ascii="Times New Roman" w:hAnsi="Times New Roman" w:cs="Times New Roman"/>
          <w:sz w:val="24"/>
          <w:szCs w:val="24"/>
        </w:rPr>
        <w:t xml:space="preserve">s CAS advising model </w:t>
      </w:r>
      <w:r w:rsidR="00AD5C73" w:rsidRPr="00777073">
        <w:rPr>
          <w:rFonts w:ascii="Times New Roman" w:hAnsi="Times New Roman" w:cs="Times New Roman"/>
          <w:sz w:val="24"/>
          <w:szCs w:val="24"/>
        </w:rPr>
        <w:t>utilizes</w:t>
      </w:r>
      <w:r w:rsidR="006E582A" w:rsidRPr="00777073">
        <w:rPr>
          <w:rFonts w:ascii="Times New Roman" w:hAnsi="Times New Roman" w:cs="Times New Roman"/>
          <w:sz w:val="24"/>
          <w:szCs w:val="24"/>
        </w:rPr>
        <w:t xml:space="preserve"> </w:t>
      </w:r>
      <w:r w:rsidR="002F21A9" w:rsidRPr="00777073">
        <w:rPr>
          <w:rFonts w:ascii="Times New Roman" w:hAnsi="Times New Roman" w:cs="Times New Roman"/>
          <w:sz w:val="24"/>
          <w:szCs w:val="24"/>
        </w:rPr>
        <w:t>h</w:t>
      </w:r>
      <w:r w:rsidR="00B42B97" w:rsidRPr="00777073">
        <w:rPr>
          <w:rFonts w:ascii="Times New Roman" w:hAnsi="Times New Roman" w:cs="Times New Roman"/>
          <w:sz w:val="24"/>
          <w:szCs w:val="24"/>
        </w:rPr>
        <w:t xml:space="preserve">igh-touch, individualized </w:t>
      </w:r>
      <w:r w:rsidR="006E582A" w:rsidRPr="00777073">
        <w:rPr>
          <w:rFonts w:ascii="Times New Roman" w:hAnsi="Times New Roman" w:cs="Times New Roman"/>
          <w:sz w:val="24"/>
          <w:szCs w:val="24"/>
        </w:rPr>
        <w:t xml:space="preserve">service delivery </w:t>
      </w:r>
      <w:r w:rsidRPr="00777073">
        <w:rPr>
          <w:rFonts w:ascii="Times New Roman" w:hAnsi="Times New Roman" w:cs="Times New Roman"/>
          <w:sz w:val="24"/>
          <w:szCs w:val="24"/>
        </w:rPr>
        <w:t xml:space="preserve">to proactively outreach to </w:t>
      </w:r>
      <w:r w:rsidR="00812197" w:rsidRPr="00777073">
        <w:rPr>
          <w:rFonts w:ascii="Times New Roman" w:hAnsi="Times New Roman" w:cs="Times New Roman"/>
          <w:sz w:val="24"/>
          <w:szCs w:val="24"/>
        </w:rPr>
        <w:t xml:space="preserve">all </w:t>
      </w:r>
      <w:r w:rsidRPr="00777073">
        <w:rPr>
          <w:rFonts w:ascii="Times New Roman" w:hAnsi="Times New Roman" w:cs="Times New Roman"/>
          <w:sz w:val="24"/>
          <w:szCs w:val="24"/>
        </w:rPr>
        <w:t>students at multiple phases of their academic journeys, with a focus on our most vulnerable students.  Our advising philosophy embraces the idea that each student presents with unique strengths that must be nurtured and unique challenges and con</w:t>
      </w:r>
      <w:r w:rsidR="00812197" w:rsidRPr="00777073">
        <w:rPr>
          <w:rFonts w:ascii="Times New Roman" w:hAnsi="Times New Roman" w:cs="Times New Roman"/>
          <w:sz w:val="24"/>
          <w:szCs w:val="24"/>
        </w:rPr>
        <w:t xml:space="preserve">straints that must be addressed.  With </w:t>
      </w:r>
      <w:r w:rsidR="006E582A" w:rsidRPr="00777073">
        <w:rPr>
          <w:rFonts w:ascii="Times New Roman" w:hAnsi="Times New Roman" w:cs="Times New Roman"/>
          <w:sz w:val="24"/>
          <w:szCs w:val="24"/>
        </w:rPr>
        <w:t xml:space="preserve">the ultimate goal student </w:t>
      </w:r>
      <w:r w:rsidR="00812197" w:rsidRPr="00777073">
        <w:rPr>
          <w:rFonts w:ascii="Times New Roman" w:hAnsi="Times New Roman" w:cs="Times New Roman"/>
          <w:sz w:val="24"/>
          <w:szCs w:val="24"/>
        </w:rPr>
        <w:t xml:space="preserve">of </w:t>
      </w:r>
      <w:r w:rsidR="006E582A" w:rsidRPr="00777073">
        <w:rPr>
          <w:rFonts w:ascii="Times New Roman" w:hAnsi="Times New Roman" w:cs="Times New Roman"/>
          <w:sz w:val="24"/>
          <w:szCs w:val="24"/>
        </w:rPr>
        <w:t>empowerment</w:t>
      </w:r>
      <w:r w:rsidR="00AD5C73" w:rsidRPr="00777073">
        <w:rPr>
          <w:rFonts w:ascii="Times New Roman" w:hAnsi="Times New Roman" w:cs="Times New Roman"/>
          <w:sz w:val="24"/>
          <w:szCs w:val="24"/>
        </w:rPr>
        <w:t xml:space="preserve">, we assist </w:t>
      </w:r>
      <w:r w:rsidR="00812197" w:rsidRPr="00777073">
        <w:rPr>
          <w:rFonts w:ascii="Times New Roman" w:hAnsi="Times New Roman" w:cs="Times New Roman"/>
          <w:sz w:val="24"/>
          <w:szCs w:val="24"/>
        </w:rPr>
        <w:t xml:space="preserve">students </w:t>
      </w:r>
      <w:r w:rsidR="00AD5C73" w:rsidRPr="00777073">
        <w:rPr>
          <w:rFonts w:ascii="Times New Roman" w:hAnsi="Times New Roman" w:cs="Times New Roman"/>
          <w:sz w:val="24"/>
          <w:szCs w:val="24"/>
        </w:rPr>
        <w:t>with</w:t>
      </w:r>
      <w:r w:rsidR="00812197" w:rsidRPr="00777073">
        <w:rPr>
          <w:rFonts w:ascii="Times New Roman" w:hAnsi="Times New Roman" w:cs="Times New Roman"/>
          <w:sz w:val="24"/>
          <w:szCs w:val="24"/>
        </w:rPr>
        <w:t xml:space="preserve"> problem-solving and strategizing around</w:t>
      </w:r>
      <w:r w:rsidRPr="00777073">
        <w:rPr>
          <w:rFonts w:ascii="Times New Roman" w:hAnsi="Times New Roman" w:cs="Times New Roman"/>
          <w:sz w:val="24"/>
          <w:szCs w:val="24"/>
        </w:rPr>
        <w:t xml:space="preserve"> their academic and life challenges</w:t>
      </w:r>
      <w:r w:rsidR="00AD5C73" w:rsidRPr="00777073">
        <w:rPr>
          <w:rFonts w:ascii="Times New Roman" w:hAnsi="Times New Roman" w:cs="Times New Roman"/>
          <w:sz w:val="24"/>
          <w:szCs w:val="24"/>
        </w:rPr>
        <w:t xml:space="preserve">, in order to support </w:t>
      </w:r>
      <w:r w:rsidR="00194AD0" w:rsidRPr="00777073">
        <w:rPr>
          <w:rFonts w:ascii="Times New Roman" w:hAnsi="Times New Roman" w:cs="Times New Roman"/>
          <w:sz w:val="24"/>
          <w:szCs w:val="24"/>
        </w:rPr>
        <w:t xml:space="preserve">their </w:t>
      </w:r>
      <w:r w:rsidR="00AD5C73" w:rsidRPr="00777073">
        <w:rPr>
          <w:rFonts w:ascii="Times New Roman" w:hAnsi="Times New Roman" w:cs="Times New Roman"/>
          <w:sz w:val="24"/>
          <w:szCs w:val="24"/>
        </w:rPr>
        <w:t>academic journeys with</w:t>
      </w:r>
      <w:r w:rsidRPr="00777073">
        <w:rPr>
          <w:rFonts w:ascii="Times New Roman" w:hAnsi="Times New Roman" w:cs="Times New Roman"/>
          <w:sz w:val="24"/>
          <w:szCs w:val="24"/>
        </w:rPr>
        <w:t xml:space="preserve"> resiliency and</w:t>
      </w:r>
      <w:r w:rsidR="00AD5C73" w:rsidRPr="00777073">
        <w:rPr>
          <w:rFonts w:ascii="Times New Roman" w:hAnsi="Times New Roman" w:cs="Times New Roman"/>
          <w:sz w:val="24"/>
          <w:szCs w:val="24"/>
        </w:rPr>
        <w:t xml:space="preserve"> </w:t>
      </w:r>
      <w:r w:rsidRPr="00777073">
        <w:rPr>
          <w:rFonts w:ascii="Times New Roman" w:hAnsi="Times New Roman" w:cs="Times New Roman"/>
          <w:sz w:val="24"/>
          <w:szCs w:val="24"/>
        </w:rPr>
        <w:t xml:space="preserve">independence.  </w:t>
      </w:r>
    </w:p>
    <w:p w:rsidR="00812197" w:rsidRPr="00777073" w:rsidRDefault="00F159B8" w:rsidP="00812197">
      <w:p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sz w:val="24"/>
          <w:szCs w:val="24"/>
        </w:rPr>
        <w:t>T</w:t>
      </w:r>
      <w:r w:rsidR="00812197" w:rsidRPr="00777073">
        <w:rPr>
          <w:rFonts w:ascii="Times New Roman" w:hAnsi="Times New Roman" w:cs="Times New Roman"/>
          <w:sz w:val="24"/>
          <w:szCs w:val="24"/>
        </w:rPr>
        <w:t>hese goals are met in many ways.  We</w:t>
      </w:r>
      <w:r w:rsidRPr="00777073">
        <w:rPr>
          <w:rFonts w:ascii="Times New Roman" w:hAnsi="Times New Roman" w:cs="Times New Roman"/>
          <w:sz w:val="24"/>
          <w:szCs w:val="24"/>
        </w:rPr>
        <w:t xml:space="preserve"> begin with the development of strong advising relationships grounded in trust and supported by interaction with academic services, </w:t>
      </w:r>
      <w:r w:rsidR="001931F3" w:rsidRPr="00777073">
        <w:rPr>
          <w:rFonts w:ascii="Times New Roman" w:hAnsi="Times New Roman" w:cs="Times New Roman"/>
          <w:sz w:val="24"/>
          <w:szCs w:val="24"/>
        </w:rPr>
        <w:t xml:space="preserve">student services, </w:t>
      </w:r>
      <w:r w:rsidRPr="00777073">
        <w:rPr>
          <w:rFonts w:ascii="Times New Roman" w:hAnsi="Times New Roman" w:cs="Times New Roman"/>
          <w:sz w:val="24"/>
          <w:szCs w:val="24"/>
        </w:rPr>
        <w:t>health and wellness, enrollm</w:t>
      </w:r>
      <w:r w:rsidR="001931F3" w:rsidRPr="00777073">
        <w:rPr>
          <w:rFonts w:ascii="Times New Roman" w:hAnsi="Times New Roman" w:cs="Times New Roman"/>
          <w:sz w:val="24"/>
          <w:szCs w:val="24"/>
        </w:rPr>
        <w:t xml:space="preserve">ent services, </w:t>
      </w:r>
      <w:r w:rsidRPr="00777073">
        <w:rPr>
          <w:rFonts w:ascii="Times New Roman" w:hAnsi="Times New Roman" w:cs="Times New Roman"/>
          <w:sz w:val="24"/>
          <w:szCs w:val="24"/>
        </w:rPr>
        <w:t>campus ministry, resident life, athletics, and all other offices providing holistic, comprehensive services to</w:t>
      </w:r>
      <w:r w:rsidR="001931F3" w:rsidRPr="00777073">
        <w:rPr>
          <w:rFonts w:ascii="Times New Roman" w:hAnsi="Times New Roman" w:cs="Times New Roman"/>
          <w:sz w:val="24"/>
          <w:szCs w:val="24"/>
        </w:rPr>
        <w:t xml:space="preserve"> Trinity’s population of college women.</w:t>
      </w:r>
      <w:r w:rsidR="00812197" w:rsidRPr="00777073">
        <w:rPr>
          <w:rFonts w:ascii="Times New Roman" w:hAnsi="Times New Roman" w:cs="Times New Roman"/>
          <w:sz w:val="24"/>
          <w:szCs w:val="24"/>
        </w:rPr>
        <w:t xml:space="preserve">  Our mission statement thus reads:</w:t>
      </w:r>
      <w:r w:rsidR="00AD5C73" w:rsidRPr="00777073">
        <w:rPr>
          <w:rFonts w:ascii="Times New Roman" w:hAnsi="Times New Roman" w:cs="Times New Roman"/>
          <w:sz w:val="24"/>
          <w:szCs w:val="24"/>
        </w:rPr>
        <w:t xml:space="preserve">  </w:t>
      </w:r>
      <w:r w:rsidR="00812197" w:rsidRPr="00777073">
        <w:rPr>
          <w:rFonts w:ascii="Times New Roman" w:hAnsi="Times New Roman" w:cs="Times New Roman"/>
          <w:sz w:val="24"/>
          <w:szCs w:val="24"/>
        </w:rPr>
        <w:t>“Academic advising at Trinity Washington University’s College of Arts and Sciences (CAS) proactively delivers comprehensive, personalized services to all students enrolled in Trinity’s historic undergraduate women’s college.   The overall goal of the office of advising is student persis</w:t>
      </w:r>
      <w:r w:rsidR="00AD5C73" w:rsidRPr="00777073">
        <w:rPr>
          <w:rFonts w:ascii="Times New Roman" w:hAnsi="Times New Roman" w:cs="Times New Roman"/>
          <w:sz w:val="24"/>
          <w:szCs w:val="24"/>
        </w:rPr>
        <w:t xml:space="preserve">tence, retention, and </w:t>
      </w:r>
      <w:r w:rsidR="00812197" w:rsidRPr="00777073">
        <w:rPr>
          <w:rFonts w:ascii="Times New Roman" w:hAnsi="Times New Roman" w:cs="Times New Roman"/>
          <w:sz w:val="24"/>
          <w:szCs w:val="24"/>
        </w:rPr>
        <w:t>academic excellence from the first year through graduation”.</w:t>
      </w:r>
    </w:p>
    <w:p w:rsidR="00812197" w:rsidRPr="00777073" w:rsidRDefault="00812197" w:rsidP="00471343">
      <w:p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sz w:val="24"/>
          <w:szCs w:val="24"/>
        </w:rPr>
        <w:t xml:space="preserve">During the Fall 2013-Spring 2013 academic year, this model evolved further as we </w:t>
      </w:r>
      <w:r w:rsidR="00194AD0" w:rsidRPr="00777073">
        <w:rPr>
          <w:rFonts w:ascii="Times New Roman" w:hAnsi="Times New Roman" w:cs="Times New Roman"/>
          <w:sz w:val="24"/>
          <w:szCs w:val="24"/>
        </w:rPr>
        <w:t xml:space="preserve">initiated </w:t>
      </w:r>
      <w:r w:rsidRPr="00777073">
        <w:rPr>
          <w:rFonts w:ascii="Times New Roman" w:hAnsi="Times New Roman" w:cs="Times New Roman"/>
          <w:sz w:val="24"/>
          <w:szCs w:val="24"/>
        </w:rPr>
        <w:t>a case-management approach to a</w:t>
      </w:r>
      <w:r w:rsidR="00B42B97" w:rsidRPr="00777073">
        <w:rPr>
          <w:rFonts w:ascii="Times New Roman" w:hAnsi="Times New Roman" w:cs="Times New Roman"/>
          <w:sz w:val="24"/>
          <w:szCs w:val="24"/>
        </w:rPr>
        <w:t xml:space="preserve">dvising services </w:t>
      </w:r>
      <w:r w:rsidR="00194AD0" w:rsidRPr="00777073">
        <w:rPr>
          <w:rFonts w:ascii="Times New Roman" w:hAnsi="Times New Roman" w:cs="Times New Roman"/>
          <w:sz w:val="24"/>
          <w:szCs w:val="24"/>
        </w:rPr>
        <w:t xml:space="preserve">by instituting </w:t>
      </w:r>
      <w:r w:rsidRPr="00777073">
        <w:rPr>
          <w:rFonts w:ascii="Times New Roman" w:hAnsi="Times New Roman" w:cs="Times New Roman"/>
          <w:sz w:val="24"/>
          <w:szCs w:val="24"/>
        </w:rPr>
        <w:t>weekly case-management meeting</w:t>
      </w:r>
      <w:r w:rsidR="00194AD0" w:rsidRPr="00777073">
        <w:rPr>
          <w:rFonts w:ascii="Times New Roman" w:hAnsi="Times New Roman" w:cs="Times New Roman"/>
          <w:sz w:val="24"/>
          <w:szCs w:val="24"/>
        </w:rPr>
        <w:t>s</w:t>
      </w:r>
      <w:r w:rsidRPr="00777073">
        <w:rPr>
          <w:rFonts w:ascii="Times New Roman" w:hAnsi="Times New Roman" w:cs="Times New Roman"/>
          <w:sz w:val="24"/>
          <w:szCs w:val="24"/>
        </w:rPr>
        <w:t xml:space="preserve"> with enrollment services, where we focus</w:t>
      </w:r>
      <w:r w:rsidR="00194AD0" w:rsidRPr="00777073">
        <w:rPr>
          <w:rFonts w:ascii="Times New Roman" w:hAnsi="Times New Roman" w:cs="Times New Roman"/>
          <w:sz w:val="24"/>
          <w:szCs w:val="24"/>
        </w:rPr>
        <w:t>ed</w:t>
      </w:r>
      <w:r w:rsidRPr="00777073">
        <w:rPr>
          <w:rFonts w:ascii="Times New Roman" w:hAnsi="Times New Roman" w:cs="Times New Roman"/>
          <w:sz w:val="24"/>
          <w:szCs w:val="24"/>
        </w:rPr>
        <w:t xml:space="preserve"> on </w:t>
      </w:r>
      <w:r w:rsidR="00194AD0" w:rsidRPr="00777073">
        <w:rPr>
          <w:rFonts w:ascii="Times New Roman" w:hAnsi="Times New Roman" w:cs="Times New Roman"/>
          <w:sz w:val="24"/>
          <w:szCs w:val="24"/>
        </w:rPr>
        <w:t xml:space="preserve">wraparound </w:t>
      </w:r>
      <w:r w:rsidRPr="00777073">
        <w:rPr>
          <w:rFonts w:ascii="Times New Roman" w:hAnsi="Times New Roman" w:cs="Times New Roman"/>
          <w:sz w:val="24"/>
          <w:szCs w:val="24"/>
        </w:rPr>
        <w:t>support services for students with multiple identified risk factors</w:t>
      </w:r>
      <w:r w:rsidR="00194AD0" w:rsidRPr="00777073">
        <w:rPr>
          <w:rFonts w:ascii="Times New Roman" w:hAnsi="Times New Roman" w:cs="Times New Roman"/>
          <w:sz w:val="24"/>
          <w:szCs w:val="24"/>
        </w:rPr>
        <w:t>.</w:t>
      </w:r>
      <w:r w:rsidR="00B42B97" w:rsidRPr="00777073">
        <w:rPr>
          <w:rFonts w:ascii="Times New Roman" w:hAnsi="Times New Roman" w:cs="Times New Roman"/>
          <w:sz w:val="24"/>
          <w:szCs w:val="24"/>
        </w:rPr>
        <w:t xml:space="preserve">  We also established a weekly standing  meeting with academic services for weekly review of progress with probationary students.</w:t>
      </w:r>
    </w:p>
    <w:p w:rsidR="00471343" w:rsidRPr="00777073" w:rsidRDefault="00471343" w:rsidP="00B83BCF">
      <w:p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sz w:val="24"/>
          <w:szCs w:val="24"/>
        </w:rPr>
        <w:lastRenderedPageBreak/>
        <w:t xml:space="preserve">Specific </w:t>
      </w:r>
      <w:r w:rsidR="007948B7" w:rsidRPr="00777073">
        <w:rPr>
          <w:rFonts w:ascii="Times New Roman" w:hAnsi="Times New Roman" w:cs="Times New Roman"/>
          <w:sz w:val="24"/>
          <w:szCs w:val="24"/>
        </w:rPr>
        <w:t xml:space="preserve">daily </w:t>
      </w:r>
      <w:r w:rsidRPr="00777073">
        <w:rPr>
          <w:rFonts w:ascii="Times New Roman" w:hAnsi="Times New Roman" w:cs="Times New Roman"/>
          <w:sz w:val="24"/>
          <w:szCs w:val="24"/>
        </w:rPr>
        <w:t>functions executed by CAS academic advis</w:t>
      </w:r>
      <w:r w:rsidR="007F33CA" w:rsidRPr="00777073">
        <w:rPr>
          <w:rFonts w:ascii="Times New Roman" w:hAnsi="Times New Roman" w:cs="Times New Roman"/>
          <w:sz w:val="24"/>
          <w:szCs w:val="24"/>
        </w:rPr>
        <w:t>ors</w:t>
      </w:r>
      <w:r w:rsidRPr="00777073">
        <w:rPr>
          <w:rFonts w:ascii="Times New Roman" w:hAnsi="Times New Roman" w:cs="Times New Roman"/>
          <w:sz w:val="24"/>
          <w:szCs w:val="24"/>
        </w:rPr>
        <w:t xml:space="preserve"> include:</w:t>
      </w:r>
    </w:p>
    <w:p w:rsidR="00D833C3" w:rsidRPr="00777073" w:rsidRDefault="006E582A" w:rsidP="00B83BCF">
      <w:pPr>
        <w:numPr>
          <w:ilvl w:val="0"/>
          <w:numId w:val="14"/>
        </w:numPr>
        <w:shd w:val="clear" w:color="auto" w:fill="FFFFFF"/>
        <w:spacing w:before="60" w:after="60"/>
        <w:rPr>
          <w:rFonts w:ascii="Times New Roman" w:hAnsi="Times New Roman" w:cs="Times New Roman"/>
          <w:sz w:val="24"/>
          <w:szCs w:val="24"/>
        </w:rPr>
      </w:pPr>
      <w:r w:rsidRPr="00777073">
        <w:rPr>
          <w:rFonts w:ascii="Times New Roman" w:hAnsi="Times New Roman" w:cs="Times New Roman"/>
          <w:sz w:val="24"/>
          <w:szCs w:val="24"/>
        </w:rPr>
        <w:t>Receiving and troubleshooting</w:t>
      </w:r>
      <w:r w:rsidR="00D833C3" w:rsidRPr="00777073">
        <w:rPr>
          <w:rFonts w:ascii="Times New Roman" w:hAnsi="Times New Roman" w:cs="Times New Roman"/>
          <w:sz w:val="24"/>
          <w:szCs w:val="24"/>
        </w:rPr>
        <w:t xml:space="preserve"> calls, emails, and visits from new first-year, transfer, and returning students</w:t>
      </w:r>
      <w:r w:rsidR="00812197" w:rsidRPr="00777073">
        <w:rPr>
          <w:rFonts w:ascii="Times New Roman" w:hAnsi="Times New Roman" w:cs="Times New Roman"/>
          <w:sz w:val="24"/>
          <w:szCs w:val="24"/>
        </w:rPr>
        <w:t xml:space="preserve"> in multiple cohorts</w:t>
      </w:r>
    </w:p>
    <w:p w:rsidR="00D833C3" w:rsidRPr="00777073" w:rsidRDefault="006E582A" w:rsidP="00B83BCF">
      <w:pPr>
        <w:numPr>
          <w:ilvl w:val="0"/>
          <w:numId w:val="14"/>
        </w:numPr>
        <w:shd w:val="clear" w:color="auto" w:fill="FFFFFF"/>
        <w:spacing w:before="60" w:after="60"/>
        <w:rPr>
          <w:rFonts w:ascii="Times New Roman" w:hAnsi="Times New Roman" w:cs="Times New Roman"/>
          <w:sz w:val="24"/>
          <w:szCs w:val="24"/>
        </w:rPr>
      </w:pPr>
      <w:r w:rsidRPr="00777073">
        <w:rPr>
          <w:rFonts w:ascii="Times New Roman" w:hAnsi="Times New Roman" w:cs="Times New Roman"/>
          <w:sz w:val="24"/>
          <w:szCs w:val="24"/>
        </w:rPr>
        <w:t xml:space="preserve">Coordinating </w:t>
      </w:r>
      <w:r w:rsidR="00D833C3" w:rsidRPr="00777073">
        <w:rPr>
          <w:rFonts w:ascii="Times New Roman" w:hAnsi="Times New Roman" w:cs="Times New Roman"/>
          <w:sz w:val="24"/>
          <w:szCs w:val="24"/>
        </w:rPr>
        <w:t xml:space="preserve">the CAS Triage Program, which entails intensive </w:t>
      </w:r>
      <w:r w:rsidR="00194AD0" w:rsidRPr="00777073">
        <w:rPr>
          <w:rFonts w:ascii="Times New Roman" w:hAnsi="Times New Roman" w:cs="Times New Roman"/>
          <w:sz w:val="24"/>
          <w:szCs w:val="24"/>
        </w:rPr>
        <w:t>support for</w:t>
      </w:r>
      <w:r w:rsidR="00D833C3" w:rsidRPr="00777073">
        <w:rPr>
          <w:rFonts w:ascii="Times New Roman" w:hAnsi="Times New Roman" w:cs="Times New Roman"/>
          <w:sz w:val="24"/>
          <w:szCs w:val="24"/>
        </w:rPr>
        <w:t xml:space="preserve"> students in</w:t>
      </w:r>
      <w:r w:rsidR="00C44AE4" w:rsidRPr="00777073">
        <w:rPr>
          <w:rFonts w:ascii="Times New Roman" w:hAnsi="Times New Roman" w:cs="Times New Roman"/>
          <w:sz w:val="24"/>
          <w:szCs w:val="24"/>
        </w:rPr>
        <w:t xml:space="preserve"> emergency or</w:t>
      </w:r>
      <w:r w:rsidR="00D833C3" w:rsidRPr="00777073">
        <w:rPr>
          <w:rFonts w:ascii="Times New Roman" w:hAnsi="Times New Roman" w:cs="Times New Roman"/>
          <w:sz w:val="24"/>
          <w:szCs w:val="24"/>
        </w:rPr>
        <w:t xml:space="preserve"> crisis situations </w:t>
      </w:r>
    </w:p>
    <w:p w:rsidR="00D833C3" w:rsidRPr="00777073" w:rsidRDefault="006E582A" w:rsidP="00B83BCF">
      <w:pPr>
        <w:numPr>
          <w:ilvl w:val="0"/>
          <w:numId w:val="14"/>
        </w:numPr>
        <w:shd w:val="clear" w:color="auto" w:fill="FFFFFF"/>
        <w:spacing w:before="60" w:after="60"/>
        <w:rPr>
          <w:rFonts w:ascii="Times New Roman" w:hAnsi="Times New Roman" w:cs="Times New Roman"/>
          <w:sz w:val="24"/>
          <w:szCs w:val="24"/>
        </w:rPr>
      </w:pPr>
      <w:r w:rsidRPr="00777073">
        <w:rPr>
          <w:rFonts w:ascii="Times New Roman" w:hAnsi="Times New Roman" w:cs="Times New Roman"/>
          <w:sz w:val="24"/>
          <w:szCs w:val="24"/>
        </w:rPr>
        <w:t>Assisting</w:t>
      </w:r>
      <w:r w:rsidR="00D833C3" w:rsidRPr="00777073">
        <w:rPr>
          <w:rFonts w:ascii="Times New Roman" w:hAnsi="Times New Roman" w:cs="Times New Roman"/>
          <w:sz w:val="24"/>
          <w:szCs w:val="24"/>
        </w:rPr>
        <w:t xml:space="preserve"> faculty in their advising roles, including planning and delivering faculty </w:t>
      </w:r>
      <w:r w:rsidR="00A138BD" w:rsidRPr="00777073">
        <w:rPr>
          <w:rFonts w:ascii="Times New Roman" w:hAnsi="Times New Roman" w:cs="Times New Roman"/>
          <w:sz w:val="24"/>
          <w:szCs w:val="24"/>
        </w:rPr>
        <w:t xml:space="preserve">training workshops, individual consultation, and </w:t>
      </w:r>
      <w:r w:rsidR="00194AD0" w:rsidRPr="00777073">
        <w:rPr>
          <w:rFonts w:ascii="Times New Roman" w:hAnsi="Times New Roman" w:cs="Times New Roman"/>
          <w:sz w:val="24"/>
          <w:szCs w:val="24"/>
        </w:rPr>
        <w:t>back-up advising</w:t>
      </w:r>
    </w:p>
    <w:p w:rsidR="00D833C3" w:rsidRPr="00777073" w:rsidRDefault="006E582A" w:rsidP="00B83BCF">
      <w:pPr>
        <w:numPr>
          <w:ilvl w:val="0"/>
          <w:numId w:val="14"/>
        </w:numPr>
        <w:shd w:val="clear" w:color="auto" w:fill="FFFFFF"/>
        <w:spacing w:before="60" w:after="60"/>
        <w:rPr>
          <w:rFonts w:ascii="Times New Roman" w:hAnsi="Times New Roman" w:cs="Times New Roman"/>
          <w:sz w:val="24"/>
          <w:szCs w:val="24"/>
        </w:rPr>
      </w:pPr>
      <w:r w:rsidRPr="00777073">
        <w:rPr>
          <w:rFonts w:ascii="Times New Roman" w:hAnsi="Times New Roman" w:cs="Times New Roman"/>
          <w:sz w:val="24"/>
          <w:szCs w:val="24"/>
        </w:rPr>
        <w:t>Communicating</w:t>
      </w:r>
      <w:r w:rsidR="00D833C3" w:rsidRPr="00777073">
        <w:rPr>
          <w:rFonts w:ascii="Times New Roman" w:hAnsi="Times New Roman" w:cs="Times New Roman"/>
          <w:sz w:val="24"/>
          <w:szCs w:val="24"/>
        </w:rPr>
        <w:t xml:space="preserve"> to students, faculty and all stakeholders in a timely manner regarding advising, </w:t>
      </w:r>
      <w:r w:rsidR="007948B7" w:rsidRPr="00777073">
        <w:rPr>
          <w:rFonts w:ascii="Times New Roman" w:hAnsi="Times New Roman" w:cs="Times New Roman"/>
          <w:sz w:val="24"/>
          <w:szCs w:val="24"/>
        </w:rPr>
        <w:t xml:space="preserve">policy, </w:t>
      </w:r>
      <w:r w:rsidR="00D833C3" w:rsidRPr="00777073">
        <w:rPr>
          <w:rFonts w:ascii="Times New Roman" w:hAnsi="Times New Roman" w:cs="Times New Roman"/>
          <w:sz w:val="24"/>
          <w:szCs w:val="24"/>
        </w:rPr>
        <w:t>registration and issues resolution</w:t>
      </w:r>
    </w:p>
    <w:p w:rsidR="00C44AE4" w:rsidRPr="00777073" w:rsidRDefault="00C44AE4" w:rsidP="00B83BCF">
      <w:pPr>
        <w:numPr>
          <w:ilvl w:val="0"/>
          <w:numId w:val="14"/>
        </w:numPr>
        <w:shd w:val="clear" w:color="auto" w:fill="FFFFFF"/>
        <w:spacing w:before="60" w:after="60"/>
        <w:rPr>
          <w:rFonts w:ascii="Times New Roman" w:hAnsi="Times New Roman" w:cs="Times New Roman"/>
          <w:sz w:val="24"/>
          <w:szCs w:val="24"/>
        </w:rPr>
      </w:pPr>
      <w:r w:rsidRPr="00777073">
        <w:rPr>
          <w:rFonts w:ascii="Times New Roman" w:hAnsi="Times New Roman" w:cs="Times New Roman"/>
          <w:sz w:val="24"/>
          <w:szCs w:val="24"/>
        </w:rPr>
        <w:t xml:space="preserve">Acting as point-of-contact for Trinity advising cohorts and special cohorts such as CSF, CFSA, KIPP, LAYC, </w:t>
      </w:r>
      <w:r w:rsidR="00D5455E" w:rsidRPr="00777073">
        <w:rPr>
          <w:rFonts w:ascii="Times New Roman" w:hAnsi="Times New Roman" w:cs="Times New Roman"/>
          <w:sz w:val="24"/>
          <w:szCs w:val="24"/>
        </w:rPr>
        <w:t xml:space="preserve">Cristo del Rey, </w:t>
      </w:r>
      <w:r w:rsidRPr="00777073">
        <w:rPr>
          <w:rFonts w:ascii="Times New Roman" w:hAnsi="Times New Roman" w:cs="Times New Roman"/>
          <w:sz w:val="24"/>
          <w:szCs w:val="24"/>
        </w:rPr>
        <w:t>HiSCIP, and other cohorts as needed</w:t>
      </w:r>
    </w:p>
    <w:p w:rsidR="00D833C3" w:rsidRPr="00777073" w:rsidRDefault="00812197" w:rsidP="00B83BCF">
      <w:pPr>
        <w:numPr>
          <w:ilvl w:val="0"/>
          <w:numId w:val="14"/>
        </w:numPr>
        <w:shd w:val="clear" w:color="auto" w:fill="FFFFFF"/>
        <w:spacing w:before="60" w:after="60"/>
        <w:rPr>
          <w:rFonts w:ascii="Times New Roman" w:hAnsi="Times New Roman" w:cs="Times New Roman"/>
          <w:sz w:val="24"/>
          <w:szCs w:val="24"/>
        </w:rPr>
      </w:pPr>
      <w:r w:rsidRPr="00777073">
        <w:rPr>
          <w:rFonts w:ascii="Times New Roman" w:hAnsi="Times New Roman" w:cs="Times New Roman"/>
          <w:sz w:val="24"/>
          <w:szCs w:val="24"/>
        </w:rPr>
        <w:t xml:space="preserve"> </w:t>
      </w:r>
      <w:r w:rsidR="006E582A" w:rsidRPr="00777073">
        <w:rPr>
          <w:rFonts w:ascii="Times New Roman" w:hAnsi="Times New Roman" w:cs="Times New Roman"/>
          <w:sz w:val="24"/>
          <w:szCs w:val="24"/>
        </w:rPr>
        <w:t>“Spot” analysis of</w:t>
      </w:r>
      <w:r w:rsidR="00D833C3" w:rsidRPr="00777073">
        <w:rPr>
          <w:rFonts w:ascii="Times New Roman" w:hAnsi="Times New Roman" w:cs="Times New Roman"/>
          <w:sz w:val="24"/>
          <w:szCs w:val="24"/>
        </w:rPr>
        <w:t xml:space="preserve"> transfer transcripts in order to register students in a timely manner, as well as perform</w:t>
      </w:r>
      <w:r w:rsidR="006E582A" w:rsidRPr="00777073">
        <w:rPr>
          <w:rFonts w:ascii="Times New Roman" w:hAnsi="Times New Roman" w:cs="Times New Roman"/>
          <w:sz w:val="24"/>
          <w:szCs w:val="24"/>
        </w:rPr>
        <w:t>ing</w:t>
      </w:r>
      <w:r w:rsidR="00D833C3" w:rsidRPr="00777073">
        <w:rPr>
          <w:rFonts w:ascii="Times New Roman" w:hAnsi="Times New Roman" w:cs="Times New Roman"/>
          <w:sz w:val="24"/>
          <w:szCs w:val="24"/>
        </w:rPr>
        <w:t xml:space="preserve"> transcript evaluations for transfer credits </w:t>
      </w:r>
    </w:p>
    <w:p w:rsidR="00812197" w:rsidRPr="00777073" w:rsidRDefault="006E582A" w:rsidP="00B83BCF">
      <w:pPr>
        <w:numPr>
          <w:ilvl w:val="0"/>
          <w:numId w:val="14"/>
        </w:numPr>
        <w:shd w:val="clear" w:color="auto" w:fill="FFFFFF"/>
        <w:spacing w:before="60" w:after="60"/>
        <w:rPr>
          <w:rFonts w:ascii="Times New Roman" w:hAnsi="Times New Roman" w:cs="Times New Roman"/>
          <w:sz w:val="24"/>
          <w:szCs w:val="24"/>
        </w:rPr>
      </w:pPr>
      <w:r w:rsidRPr="00777073">
        <w:rPr>
          <w:rFonts w:ascii="Times New Roman" w:hAnsi="Times New Roman" w:cs="Times New Roman"/>
          <w:sz w:val="24"/>
          <w:szCs w:val="24"/>
        </w:rPr>
        <w:t xml:space="preserve">Reviewing and ensuring the </w:t>
      </w:r>
      <w:r w:rsidR="00D833C3" w:rsidRPr="00777073">
        <w:rPr>
          <w:rFonts w:ascii="Times New Roman" w:hAnsi="Times New Roman" w:cs="Times New Roman"/>
          <w:sz w:val="24"/>
          <w:szCs w:val="24"/>
        </w:rPr>
        <w:t xml:space="preserve">accuracy of </w:t>
      </w:r>
      <w:r w:rsidR="00A138BD" w:rsidRPr="00777073">
        <w:rPr>
          <w:rFonts w:ascii="Times New Roman" w:hAnsi="Times New Roman" w:cs="Times New Roman"/>
          <w:sz w:val="24"/>
          <w:szCs w:val="24"/>
        </w:rPr>
        <w:t xml:space="preserve">academic standing decisions and </w:t>
      </w:r>
      <w:r w:rsidR="00D833C3" w:rsidRPr="00777073">
        <w:rPr>
          <w:rFonts w:ascii="Times New Roman" w:hAnsi="Times New Roman" w:cs="Times New Roman"/>
          <w:sz w:val="24"/>
          <w:szCs w:val="24"/>
        </w:rPr>
        <w:t>graduation audits</w:t>
      </w:r>
    </w:p>
    <w:p w:rsidR="00D833C3" w:rsidRPr="00777073" w:rsidRDefault="007948B7" w:rsidP="00812197">
      <w:pPr>
        <w:numPr>
          <w:ilvl w:val="0"/>
          <w:numId w:val="14"/>
        </w:numPr>
        <w:shd w:val="clear" w:color="auto" w:fill="FFFFFF"/>
        <w:spacing w:before="60" w:after="60"/>
        <w:rPr>
          <w:rFonts w:ascii="Times New Roman" w:hAnsi="Times New Roman" w:cs="Times New Roman"/>
          <w:sz w:val="24"/>
          <w:szCs w:val="24"/>
        </w:rPr>
      </w:pPr>
      <w:r w:rsidRPr="00777073">
        <w:rPr>
          <w:rFonts w:ascii="Times New Roman" w:hAnsi="Times New Roman" w:cs="Times New Roman"/>
          <w:sz w:val="24"/>
          <w:szCs w:val="24"/>
        </w:rPr>
        <w:t>Functioning as part of the decanal team; in particular w</w:t>
      </w:r>
      <w:r w:rsidR="00812197" w:rsidRPr="00777073">
        <w:rPr>
          <w:rFonts w:ascii="Times New Roman" w:hAnsi="Times New Roman" w:cs="Times New Roman"/>
          <w:sz w:val="24"/>
          <w:szCs w:val="24"/>
        </w:rPr>
        <w:t xml:space="preserve">orking with the deans and other decanal staff to </w:t>
      </w:r>
      <w:r w:rsidRPr="00777073">
        <w:rPr>
          <w:rFonts w:ascii="Times New Roman" w:hAnsi="Times New Roman" w:cs="Times New Roman"/>
          <w:sz w:val="24"/>
          <w:szCs w:val="24"/>
        </w:rPr>
        <w:t xml:space="preserve">review program effectiveness  and to </w:t>
      </w:r>
      <w:r w:rsidR="00812197" w:rsidRPr="00777073">
        <w:rPr>
          <w:rFonts w:ascii="Times New Roman" w:hAnsi="Times New Roman" w:cs="Times New Roman"/>
          <w:sz w:val="24"/>
          <w:szCs w:val="24"/>
        </w:rPr>
        <w:t>collect and analyze advising-related data</w:t>
      </w:r>
      <w:r w:rsidR="00D833C3" w:rsidRPr="00777073">
        <w:rPr>
          <w:rFonts w:ascii="Times New Roman" w:hAnsi="Times New Roman" w:cs="Times New Roman"/>
          <w:sz w:val="24"/>
          <w:szCs w:val="24"/>
        </w:rPr>
        <w:t>  </w:t>
      </w:r>
    </w:p>
    <w:p w:rsidR="00D833C3" w:rsidRPr="00777073" w:rsidRDefault="006E582A" w:rsidP="00B83BCF">
      <w:pPr>
        <w:numPr>
          <w:ilvl w:val="0"/>
          <w:numId w:val="14"/>
        </w:numPr>
        <w:shd w:val="clear" w:color="auto" w:fill="FFFFFF"/>
        <w:spacing w:before="60" w:after="60"/>
        <w:rPr>
          <w:rFonts w:ascii="Times New Roman" w:hAnsi="Times New Roman" w:cs="Times New Roman"/>
          <w:sz w:val="24"/>
          <w:szCs w:val="24"/>
        </w:rPr>
      </w:pPr>
      <w:r w:rsidRPr="00777073">
        <w:rPr>
          <w:rFonts w:ascii="Times New Roman" w:hAnsi="Times New Roman" w:cs="Times New Roman"/>
          <w:sz w:val="24"/>
          <w:szCs w:val="24"/>
        </w:rPr>
        <w:t>Maintaining</w:t>
      </w:r>
      <w:r w:rsidR="00D833C3" w:rsidRPr="00777073">
        <w:rPr>
          <w:rFonts w:ascii="Times New Roman" w:hAnsi="Times New Roman" w:cs="Times New Roman"/>
          <w:sz w:val="24"/>
          <w:szCs w:val="24"/>
        </w:rPr>
        <w:t xml:space="preserve"> the CAS advising website</w:t>
      </w:r>
    </w:p>
    <w:p w:rsidR="004D744D" w:rsidRPr="00777073" w:rsidRDefault="007948B7" w:rsidP="004D744D">
      <w:pPr>
        <w:numPr>
          <w:ilvl w:val="0"/>
          <w:numId w:val="14"/>
        </w:numPr>
        <w:shd w:val="clear" w:color="auto" w:fill="FFFFFF"/>
        <w:spacing w:before="60" w:after="60"/>
        <w:rPr>
          <w:rFonts w:ascii="Times New Roman" w:hAnsi="Times New Roman" w:cs="Times New Roman"/>
          <w:sz w:val="24"/>
          <w:szCs w:val="24"/>
        </w:rPr>
      </w:pPr>
      <w:r w:rsidRPr="00777073">
        <w:rPr>
          <w:rFonts w:ascii="Times New Roman" w:hAnsi="Times New Roman" w:cs="Times New Roman"/>
          <w:sz w:val="24"/>
          <w:szCs w:val="24"/>
        </w:rPr>
        <w:t>Special projects and assignments as needed</w:t>
      </w:r>
    </w:p>
    <w:p w:rsidR="004D744D" w:rsidRPr="00777073" w:rsidRDefault="004C7D84" w:rsidP="004D744D">
      <w:p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sz w:val="24"/>
          <w:szCs w:val="24"/>
        </w:rPr>
        <w:t xml:space="preserve">In the Fall </w:t>
      </w:r>
      <w:r w:rsidR="004D744D" w:rsidRPr="00777073">
        <w:rPr>
          <w:rFonts w:ascii="Times New Roman" w:hAnsi="Times New Roman" w:cs="Times New Roman"/>
          <w:sz w:val="24"/>
          <w:szCs w:val="24"/>
        </w:rPr>
        <w:t>2012</w:t>
      </w:r>
      <w:r w:rsidRPr="00777073">
        <w:rPr>
          <w:rFonts w:ascii="Times New Roman" w:hAnsi="Times New Roman" w:cs="Times New Roman"/>
          <w:sz w:val="24"/>
          <w:szCs w:val="24"/>
        </w:rPr>
        <w:t>-Spring 2013 academic year</w:t>
      </w:r>
      <w:r w:rsidR="004D744D" w:rsidRPr="00777073">
        <w:rPr>
          <w:rFonts w:ascii="Times New Roman" w:hAnsi="Times New Roman" w:cs="Times New Roman"/>
          <w:sz w:val="24"/>
          <w:szCs w:val="24"/>
        </w:rPr>
        <w:t xml:space="preserve">, the office of advising focused on several new and continued initiatives.  </w:t>
      </w:r>
      <w:r w:rsidRPr="00777073">
        <w:rPr>
          <w:rFonts w:ascii="Times New Roman" w:hAnsi="Times New Roman" w:cs="Times New Roman"/>
          <w:sz w:val="24"/>
          <w:szCs w:val="24"/>
        </w:rPr>
        <w:t>This past academic year</w:t>
      </w:r>
      <w:r w:rsidR="004D744D" w:rsidRPr="00777073">
        <w:rPr>
          <w:rFonts w:ascii="Times New Roman" w:hAnsi="Times New Roman" w:cs="Times New Roman"/>
          <w:sz w:val="24"/>
          <w:szCs w:val="24"/>
        </w:rPr>
        <w:t xml:space="preserve"> found our office reduced in staff from three professional advisors and the advising manager (the associate dean) to two professional advisors and</w:t>
      </w:r>
      <w:r w:rsidR="00D5191B" w:rsidRPr="00777073">
        <w:rPr>
          <w:rFonts w:ascii="Times New Roman" w:hAnsi="Times New Roman" w:cs="Times New Roman"/>
          <w:sz w:val="24"/>
          <w:szCs w:val="24"/>
        </w:rPr>
        <w:t xml:space="preserve"> the manager.  This reduction in</w:t>
      </w:r>
      <w:r w:rsidR="004D744D" w:rsidRPr="00777073">
        <w:rPr>
          <w:rFonts w:ascii="Times New Roman" w:hAnsi="Times New Roman" w:cs="Times New Roman"/>
          <w:sz w:val="24"/>
          <w:szCs w:val="24"/>
        </w:rPr>
        <w:t xml:space="preserve"> staff required a reorganization of our cohort model, as well as an evaluation of which cohorts required the most intensive support.  In the end, we decided to continue our focus on triage and probationary students, on “special cohorts” (such as CSF), and on education major students, who continue to require intensive support.  Our “secondary” cohort of focus w</w:t>
      </w:r>
      <w:r w:rsidR="00D5191B" w:rsidRPr="00777073">
        <w:rPr>
          <w:rFonts w:ascii="Times New Roman" w:hAnsi="Times New Roman" w:cs="Times New Roman"/>
          <w:sz w:val="24"/>
          <w:szCs w:val="24"/>
        </w:rPr>
        <w:t>as transfer students, as transcript evaluations must continue under all circumstances.</w:t>
      </w:r>
      <w:r w:rsidR="004D744D" w:rsidRPr="00777073">
        <w:rPr>
          <w:rFonts w:ascii="Times New Roman" w:hAnsi="Times New Roman" w:cs="Times New Roman"/>
          <w:sz w:val="24"/>
          <w:szCs w:val="24"/>
        </w:rPr>
        <w:t xml:space="preserve"> </w:t>
      </w:r>
    </w:p>
    <w:p w:rsidR="004D744D" w:rsidRPr="00777073" w:rsidRDefault="004D744D" w:rsidP="004D744D">
      <w:p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sz w:val="24"/>
          <w:szCs w:val="24"/>
        </w:rPr>
        <w:t xml:space="preserve">We did see some </w:t>
      </w:r>
      <w:r w:rsidR="00D5191B" w:rsidRPr="00777073">
        <w:rPr>
          <w:rFonts w:ascii="Times New Roman" w:hAnsi="Times New Roman" w:cs="Times New Roman"/>
          <w:sz w:val="24"/>
          <w:szCs w:val="24"/>
        </w:rPr>
        <w:t>declines in</w:t>
      </w:r>
      <w:r w:rsidRPr="00777073">
        <w:rPr>
          <w:rFonts w:ascii="Times New Roman" w:hAnsi="Times New Roman" w:cs="Times New Roman"/>
          <w:sz w:val="24"/>
          <w:szCs w:val="24"/>
        </w:rPr>
        <w:t xml:space="preserve"> service delivery as a result of our reorganization.  We were unable to provide organized cohort services to UND-N students and to the Dean’s list cohort, which resulted in a drop-off in applications for prestigious scholarships (such as the Truman Foundation Award, for which we last year entered a runner-up finalist).  Our UND-N students were largely distributed among the faculty advisors, particularly those with lighter advising loads; our plan was to address the needs of these students through advising workshops for the UND-N faculty.  However, UND-N advising ended up a less pressing need than the requirement that we train advisors on the new electronic academic plans, so again, we had to make choices </w:t>
      </w:r>
      <w:r w:rsidRPr="00777073">
        <w:rPr>
          <w:rFonts w:ascii="Times New Roman" w:hAnsi="Times New Roman" w:cs="Times New Roman"/>
          <w:sz w:val="24"/>
          <w:szCs w:val="24"/>
        </w:rPr>
        <w:lastRenderedPageBreak/>
        <w:t xml:space="preserve">about where to deploy resources.  Hopefully </w:t>
      </w:r>
      <w:r w:rsidR="00070C7F" w:rsidRPr="00777073">
        <w:rPr>
          <w:rFonts w:ascii="Times New Roman" w:hAnsi="Times New Roman" w:cs="Times New Roman"/>
          <w:sz w:val="24"/>
          <w:szCs w:val="24"/>
        </w:rPr>
        <w:t>in Fall 2013</w:t>
      </w:r>
      <w:r w:rsidRPr="00777073">
        <w:rPr>
          <w:rFonts w:ascii="Times New Roman" w:hAnsi="Times New Roman" w:cs="Times New Roman"/>
          <w:sz w:val="24"/>
          <w:szCs w:val="24"/>
        </w:rPr>
        <w:t xml:space="preserve"> we will be able to offer UND-N advising workshops, as this cohort continues to be key to Trinity’s growth.  Regarding transfer students, we coped with a back-log in transfer evaluations which we are </w:t>
      </w:r>
      <w:r w:rsidR="004C7D84" w:rsidRPr="00777073">
        <w:rPr>
          <w:rFonts w:ascii="Times New Roman" w:hAnsi="Times New Roman" w:cs="Times New Roman"/>
          <w:sz w:val="24"/>
          <w:szCs w:val="24"/>
        </w:rPr>
        <w:t>still</w:t>
      </w:r>
      <w:r w:rsidRPr="00777073">
        <w:rPr>
          <w:rFonts w:ascii="Times New Roman" w:hAnsi="Times New Roman" w:cs="Times New Roman"/>
          <w:sz w:val="24"/>
          <w:szCs w:val="24"/>
        </w:rPr>
        <w:t xml:space="preserve"> resolving.  </w:t>
      </w:r>
    </w:p>
    <w:p w:rsidR="00D77896" w:rsidRPr="00777073" w:rsidRDefault="00DB52F0" w:rsidP="00DB52F0">
      <w:pPr>
        <w:shd w:val="clear" w:color="auto" w:fill="FFFFFF"/>
        <w:spacing w:before="100" w:beforeAutospacing="1" w:after="270"/>
        <w:rPr>
          <w:rFonts w:ascii="Times New Roman" w:hAnsi="Times New Roman" w:cs="Times New Roman"/>
          <w:sz w:val="24"/>
          <w:szCs w:val="24"/>
        </w:rPr>
      </w:pPr>
      <w:r w:rsidRPr="00777073">
        <w:rPr>
          <w:rFonts w:ascii="Times New Roman" w:hAnsi="Times New Roman" w:cs="Times New Roman"/>
          <w:sz w:val="24"/>
          <w:szCs w:val="24"/>
        </w:rPr>
        <w:t>Fall 2012</w:t>
      </w:r>
      <w:r w:rsidR="004C7D84" w:rsidRPr="00777073">
        <w:rPr>
          <w:rFonts w:ascii="Times New Roman" w:hAnsi="Times New Roman" w:cs="Times New Roman"/>
          <w:sz w:val="24"/>
          <w:szCs w:val="24"/>
        </w:rPr>
        <w:t>-Spring 2013</w:t>
      </w:r>
      <w:r w:rsidRPr="00777073">
        <w:rPr>
          <w:rFonts w:ascii="Times New Roman" w:hAnsi="Times New Roman" w:cs="Times New Roman"/>
          <w:sz w:val="24"/>
          <w:szCs w:val="24"/>
        </w:rPr>
        <w:t xml:space="preserve"> program priorities included increased clarification </w:t>
      </w:r>
      <w:r w:rsidR="00070C7F" w:rsidRPr="00777073">
        <w:rPr>
          <w:rFonts w:ascii="Times New Roman" w:hAnsi="Times New Roman" w:cs="Times New Roman"/>
          <w:sz w:val="24"/>
          <w:szCs w:val="24"/>
        </w:rPr>
        <w:t xml:space="preserve">of </w:t>
      </w:r>
      <w:r w:rsidRPr="00777073">
        <w:rPr>
          <w:rFonts w:ascii="Times New Roman" w:hAnsi="Times New Roman" w:cs="Times New Roman"/>
          <w:sz w:val="24"/>
          <w:szCs w:val="24"/>
        </w:rPr>
        <w:t xml:space="preserve">Triage policies; </w:t>
      </w:r>
      <w:r w:rsidR="00070C7F" w:rsidRPr="00777073">
        <w:rPr>
          <w:rFonts w:ascii="Times New Roman" w:hAnsi="Times New Roman" w:cs="Times New Roman"/>
          <w:sz w:val="24"/>
          <w:szCs w:val="24"/>
        </w:rPr>
        <w:t xml:space="preserve">regular updating of the </w:t>
      </w:r>
      <w:r w:rsidRPr="00777073">
        <w:rPr>
          <w:rFonts w:ascii="Times New Roman" w:hAnsi="Times New Roman" w:cs="Times New Roman"/>
          <w:sz w:val="24"/>
          <w:szCs w:val="24"/>
        </w:rPr>
        <w:t>CAS advising website; a focus on “rolling alert” (early, mid-term</w:t>
      </w:r>
      <w:r w:rsidR="00070C7F" w:rsidRPr="00777073">
        <w:rPr>
          <w:rFonts w:ascii="Times New Roman" w:hAnsi="Times New Roman" w:cs="Times New Roman"/>
          <w:sz w:val="24"/>
          <w:szCs w:val="24"/>
        </w:rPr>
        <w:t>, withdrawal)</w:t>
      </w:r>
      <w:r w:rsidRPr="00777073">
        <w:rPr>
          <w:rFonts w:ascii="Times New Roman" w:hAnsi="Times New Roman" w:cs="Times New Roman"/>
          <w:sz w:val="24"/>
          <w:szCs w:val="24"/>
        </w:rPr>
        <w:t xml:space="preserve"> interventions; and partnering with the Math Specialist program to enhance outcomes in </w:t>
      </w:r>
      <w:r w:rsidR="00150D20" w:rsidRPr="00777073">
        <w:rPr>
          <w:rFonts w:ascii="Times New Roman" w:hAnsi="Times New Roman" w:cs="Times New Roman"/>
          <w:sz w:val="24"/>
          <w:szCs w:val="24"/>
        </w:rPr>
        <w:t>pre-foundational math courses</w:t>
      </w:r>
      <w:r w:rsidRPr="00777073">
        <w:rPr>
          <w:rFonts w:ascii="Times New Roman" w:hAnsi="Times New Roman" w:cs="Times New Roman"/>
          <w:sz w:val="24"/>
          <w:szCs w:val="24"/>
        </w:rPr>
        <w:t>.  We also initi</w:t>
      </w:r>
      <w:r w:rsidR="00150D20" w:rsidRPr="00777073">
        <w:rPr>
          <w:rFonts w:ascii="Times New Roman" w:hAnsi="Times New Roman" w:cs="Times New Roman"/>
          <w:sz w:val="24"/>
          <w:szCs w:val="24"/>
        </w:rPr>
        <w:t>ated increased</w:t>
      </w:r>
      <w:r w:rsidRPr="00777073">
        <w:rPr>
          <w:rFonts w:ascii="Times New Roman" w:hAnsi="Times New Roman" w:cs="Times New Roman"/>
          <w:sz w:val="24"/>
          <w:szCs w:val="24"/>
        </w:rPr>
        <w:t xml:space="preserve"> collaboration with academic services</w:t>
      </w:r>
      <w:r w:rsidR="00150D20" w:rsidRPr="00777073">
        <w:rPr>
          <w:rFonts w:ascii="Times New Roman" w:hAnsi="Times New Roman" w:cs="Times New Roman"/>
          <w:sz w:val="24"/>
          <w:szCs w:val="24"/>
        </w:rPr>
        <w:t xml:space="preserve"> and enrollment services</w:t>
      </w:r>
      <w:r w:rsidRPr="00777073">
        <w:rPr>
          <w:rFonts w:ascii="Times New Roman" w:hAnsi="Times New Roman" w:cs="Times New Roman"/>
          <w:sz w:val="24"/>
          <w:szCs w:val="24"/>
        </w:rPr>
        <w:t xml:space="preserve">.  This report focuses on outcomes for four of these initiatives:  probationary advising, CAS rolling alert systems, the advising website, and the Triage program.  We also completed some analysis on the UND-N cohort, as we </w:t>
      </w:r>
      <w:r w:rsidR="00D34317" w:rsidRPr="00777073">
        <w:rPr>
          <w:rFonts w:ascii="Times New Roman" w:hAnsi="Times New Roman" w:cs="Times New Roman"/>
          <w:sz w:val="24"/>
          <w:szCs w:val="24"/>
        </w:rPr>
        <w:t xml:space="preserve">wanted to ensure that we did not </w:t>
      </w:r>
      <w:r w:rsidRPr="00777073">
        <w:rPr>
          <w:rFonts w:ascii="Times New Roman" w:hAnsi="Times New Roman" w:cs="Times New Roman"/>
          <w:sz w:val="24"/>
          <w:szCs w:val="24"/>
        </w:rPr>
        <w:t>lose sight of this important cohort</w:t>
      </w:r>
    </w:p>
    <w:p w:rsidR="000C134C" w:rsidRPr="00777073" w:rsidRDefault="00DB52F0" w:rsidP="00C41EAD">
      <w:pPr>
        <w:shd w:val="clear" w:color="auto" w:fill="FFFFFF"/>
        <w:spacing w:before="60" w:after="60"/>
        <w:rPr>
          <w:rFonts w:ascii="Times New Roman" w:hAnsi="Times New Roman" w:cs="Times New Roman"/>
          <w:sz w:val="24"/>
          <w:szCs w:val="24"/>
        </w:rPr>
      </w:pPr>
      <w:r w:rsidRPr="00777073">
        <w:rPr>
          <w:rFonts w:ascii="Times New Roman" w:hAnsi="Times New Roman" w:cs="Times New Roman"/>
          <w:sz w:val="24"/>
          <w:szCs w:val="24"/>
        </w:rPr>
        <w:t>As in previous semesters</w:t>
      </w:r>
      <w:r w:rsidR="00C41EAD" w:rsidRPr="00777073">
        <w:rPr>
          <w:rFonts w:ascii="Times New Roman" w:hAnsi="Times New Roman" w:cs="Times New Roman"/>
          <w:sz w:val="24"/>
          <w:szCs w:val="24"/>
        </w:rPr>
        <w:t xml:space="preserve">, advising </w:t>
      </w:r>
      <w:r w:rsidR="00D77896" w:rsidRPr="00777073">
        <w:rPr>
          <w:rFonts w:ascii="Times New Roman" w:hAnsi="Times New Roman" w:cs="Times New Roman"/>
          <w:sz w:val="24"/>
          <w:szCs w:val="24"/>
        </w:rPr>
        <w:t xml:space="preserve">continued to </w:t>
      </w:r>
      <w:r w:rsidR="00D96DC5" w:rsidRPr="00777073">
        <w:rPr>
          <w:rFonts w:ascii="Times New Roman" w:hAnsi="Times New Roman" w:cs="Times New Roman"/>
          <w:sz w:val="24"/>
          <w:szCs w:val="24"/>
        </w:rPr>
        <w:t xml:space="preserve">track retention and persistence by examining multiple data points that </w:t>
      </w:r>
      <w:r w:rsidR="00C41EAD" w:rsidRPr="00777073">
        <w:rPr>
          <w:rFonts w:ascii="Times New Roman" w:hAnsi="Times New Roman" w:cs="Times New Roman"/>
          <w:sz w:val="24"/>
          <w:szCs w:val="24"/>
        </w:rPr>
        <w:t xml:space="preserve">may </w:t>
      </w:r>
      <w:r w:rsidR="00D96DC5" w:rsidRPr="00777073">
        <w:rPr>
          <w:rFonts w:ascii="Times New Roman" w:hAnsi="Times New Roman" w:cs="Times New Roman"/>
          <w:sz w:val="24"/>
          <w:szCs w:val="24"/>
        </w:rPr>
        <w:t>factor into attrition</w:t>
      </w:r>
      <w:r w:rsidR="00C41EAD" w:rsidRPr="00777073">
        <w:rPr>
          <w:rFonts w:ascii="Times New Roman" w:hAnsi="Times New Roman" w:cs="Times New Roman"/>
          <w:sz w:val="24"/>
          <w:szCs w:val="24"/>
        </w:rPr>
        <w:t xml:space="preserve">.  </w:t>
      </w:r>
      <w:r w:rsidR="00D77896" w:rsidRPr="00777073">
        <w:rPr>
          <w:rFonts w:ascii="Times New Roman" w:hAnsi="Times New Roman" w:cs="Times New Roman"/>
          <w:sz w:val="24"/>
          <w:szCs w:val="24"/>
        </w:rPr>
        <w:t>By</w:t>
      </w:r>
      <w:r w:rsidR="00C41EAD" w:rsidRPr="00777073">
        <w:rPr>
          <w:rFonts w:ascii="Times New Roman" w:hAnsi="Times New Roman" w:cs="Times New Roman"/>
          <w:sz w:val="24"/>
          <w:szCs w:val="24"/>
        </w:rPr>
        <w:t xml:space="preserve"> collecting data from enrollment services, advisors, faculty</w:t>
      </w:r>
      <w:r w:rsidR="00E858DE" w:rsidRPr="00777073">
        <w:rPr>
          <w:rFonts w:ascii="Times New Roman" w:hAnsi="Times New Roman" w:cs="Times New Roman"/>
          <w:sz w:val="24"/>
          <w:szCs w:val="24"/>
        </w:rPr>
        <w:t>,</w:t>
      </w:r>
      <w:r w:rsidR="00C41EAD" w:rsidRPr="00777073">
        <w:rPr>
          <w:rFonts w:ascii="Times New Roman" w:hAnsi="Times New Roman" w:cs="Times New Roman"/>
          <w:sz w:val="24"/>
          <w:szCs w:val="24"/>
        </w:rPr>
        <w:t xml:space="preserve"> and other campus offices (Dean of Students; Health and Wellness)</w:t>
      </w:r>
      <w:r w:rsidR="00C44AE4" w:rsidRPr="00777073">
        <w:rPr>
          <w:rFonts w:ascii="Times New Roman" w:hAnsi="Times New Roman" w:cs="Times New Roman"/>
          <w:sz w:val="24"/>
          <w:szCs w:val="24"/>
        </w:rPr>
        <w:t xml:space="preserve">, </w:t>
      </w:r>
      <w:r w:rsidR="00D77896" w:rsidRPr="00777073">
        <w:rPr>
          <w:rFonts w:ascii="Times New Roman" w:hAnsi="Times New Roman" w:cs="Times New Roman"/>
          <w:sz w:val="24"/>
          <w:szCs w:val="24"/>
        </w:rPr>
        <w:t xml:space="preserve">advising </w:t>
      </w:r>
      <w:r w:rsidRPr="00777073">
        <w:rPr>
          <w:rFonts w:ascii="Times New Roman" w:hAnsi="Times New Roman" w:cs="Times New Roman"/>
          <w:sz w:val="24"/>
          <w:szCs w:val="24"/>
        </w:rPr>
        <w:t>remains engaged in</w:t>
      </w:r>
      <w:r w:rsidR="00C44AE4" w:rsidRPr="00777073">
        <w:rPr>
          <w:rFonts w:ascii="Times New Roman" w:hAnsi="Times New Roman" w:cs="Times New Roman"/>
          <w:sz w:val="24"/>
          <w:szCs w:val="24"/>
        </w:rPr>
        <w:t xml:space="preserve"> track</w:t>
      </w:r>
      <w:r w:rsidRPr="00777073">
        <w:rPr>
          <w:rFonts w:ascii="Times New Roman" w:hAnsi="Times New Roman" w:cs="Times New Roman"/>
          <w:sz w:val="24"/>
          <w:szCs w:val="24"/>
        </w:rPr>
        <w:t>ing</w:t>
      </w:r>
      <w:r w:rsidR="00C44AE4" w:rsidRPr="00777073">
        <w:rPr>
          <w:rFonts w:ascii="Times New Roman" w:hAnsi="Times New Roman" w:cs="Times New Roman"/>
          <w:sz w:val="24"/>
          <w:szCs w:val="24"/>
        </w:rPr>
        <w:t xml:space="preserve"> student </w:t>
      </w:r>
      <w:r w:rsidR="00B25EE5" w:rsidRPr="00777073">
        <w:rPr>
          <w:rFonts w:ascii="Times New Roman" w:hAnsi="Times New Roman" w:cs="Times New Roman"/>
          <w:sz w:val="24"/>
          <w:szCs w:val="24"/>
        </w:rPr>
        <w:t xml:space="preserve">trends and </w:t>
      </w:r>
      <w:r w:rsidRPr="00777073">
        <w:rPr>
          <w:rFonts w:ascii="Times New Roman" w:hAnsi="Times New Roman" w:cs="Times New Roman"/>
          <w:sz w:val="24"/>
          <w:szCs w:val="24"/>
        </w:rPr>
        <w:t xml:space="preserve">will utilize these data to plan </w:t>
      </w:r>
      <w:r w:rsidR="00E84FE5" w:rsidRPr="00777073">
        <w:rPr>
          <w:rFonts w:ascii="Times New Roman" w:hAnsi="Times New Roman" w:cs="Times New Roman"/>
          <w:sz w:val="24"/>
          <w:szCs w:val="24"/>
        </w:rPr>
        <w:t xml:space="preserve">targeted programs to preventively minimize non-persistence factors.  </w:t>
      </w:r>
      <w:r w:rsidRPr="00777073">
        <w:rPr>
          <w:rFonts w:ascii="Times New Roman" w:hAnsi="Times New Roman" w:cs="Times New Roman"/>
          <w:sz w:val="24"/>
          <w:szCs w:val="24"/>
        </w:rPr>
        <w:t xml:space="preserve">As we move toward the case management approach, </w:t>
      </w:r>
      <w:r w:rsidR="004C7D84" w:rsidRPr="00777073">
        <w:rPr>
          <w:rFonts w:ascii="Times New Roman" w:hAnsi="Times New Roman" w:cs="Times New Roman"/>
          <w:sz w:val="24"/>
          <w:szCs w:val="24"/>
        </w:rPr>
        <w:t xml:space="preserve">these processes </w:t>
      </w:r>
      <w:r w:rsidRPr="00777073">
        <w:rPr>
          <w:rFonts w:ascii="Times New Roman" w:hAnsi="Times New Roman" w:cs="Times New Roman"/>
          <w:sz w:val="24"/>
          <w:szCs w:val="24"/>
        </w:rPr>
        <w:t>will become more centralized</w:t>
      </w:r>
      <w:r w:rsidR="004C7D84" w:rsidRPr="00777073">
        <w:rPr>
          <w:rFonts w:ascii="Times New Roman" w:hAnsi="Times New Roman" w:cs="Times New Roman"/>
          <w:sz w:val="24"/>
          <w:szCs w:val="24"/>
        </w:rPr>
        <w:t xml:space="preserve"> and</w:t>
      </w:r>
      <w:r w:rsidRPr="00777073">
        <w:rPr>
          <w:rFonts w:ascii="Times New Roman" w:hAnsi="Times New Roman" w:cs="Times New Roman"/>
          <w:sz w:val="24"/>
          <w:szCs w:val="24"/>
        </w:rPr>
        <w:t xml:space="preserve"> streamlined.</w:t>
      </w:r>
    </w:p>
    <w:p w:rsidR="007A577E" w:rsidRPr="00777073" w:rsidRDefault="007A577E" w:rsidP="00C41EAD">
      <w:pPr>
        <w:shd w:val="clear" w:color="auto" w:fill="FFFFFF"/>
        <w:spacing w:before="60" w:after="60"/>
        <w:rPr>
          <w:rFonts w:ascii="Times New Roman" w:hAnsi="Times New Roman" w:cs="Times New Roman"/>
          <w:sz w:val="24"/>
          <w:szCs w:val="24"/>
        </w:rPr>
      </w:pPr>
    </w:p>
    <w:p w:rsidR="007A577E" w:rsidRPr="00777073" w:rsidRDefault="007A577E" w:rsidP="00C41EAD">
      <w:pPr>
        <w:shd w:val="clear" w:color="auto" w:fill="FFFFFF"/>
        <w:spacing w:before="60" w:after="60"/>
        <w:rPr>
          <w:rFonts w:ascii="Times New Roman" w:hAnsi="Times New Roman" w:cs="Times New Roman"/>
          <w:b/>
          <w:sz w:val="24"/>
          <w:szCs w:val="24"/>
          <w:u w:val="single"/>
        </w:rPr>
      </w:pPr>
      <w:r w:rsidRPr="00777073">
        <w:rPr>
          <w:rFonts w:ascii="Times New Roman" w:hAnsi="Times New Roman" w:cs="Times New Roman"/>
          <w:b/>
          <w:sz w:val="24"/>
          <w:szCs w:val="24"/>
          <w:u w:val="single"/>
        </w:rPr>
        <w:t>Advising Loads</w:t>
      </w:r>
      <w:r w:rsidR="005E07F0" w:rsidRPr="00777073">
        <w:rPr>
          <w:rFonts w:ascii="Times New Roman" w:hAnsi="Times New Roman" w:cs="Times New Roman"/>
          <w:b/>
          <w:sz w:val="24"/>
          <w:szCs w:val="24"/>
          <w:u w:val="single"/>
        </w:rPr>
        <w:t>: A</w:t>
      </w:r>
      <w:r w:rsidRPr="00777073">
        <w:rPr>
          <w:rFonts w:ascii="Times New Roman" w:hAnsi="Times New Roman" w:cs="Times New Roman"/>
          <w:b/>
          <w:sz w:val="24"/>
          <w:szCs w:val="24"/>
          <w:u w:val="single"/>
        </w:rPr>
        <w:t xml:space="preserve"> Snapshot</w:t>
      </w:r>
      <w:r w:rsidR="005E07F0" w:rsidRPr="00777073">
        <w:rPr>
          <w:rFonts w:ascii="Times New Roman" w:hAnsi="Times New Roman" w:cs="Times New Roman"/>
          <w:b/>
          <w:sz w:val="24"/>
          <w:szCs w:val="24"/>
          <w:u w:val="single"/>
        </w:rPr>
        <w:t xml:space="preserve"> in Time</w:t>
      </w:r>
    </w:p>
    <w:p w:rsidR="00DC3FEB" w:rsidRPr="00777073" w:rsidRDefault="00DC3FEB" w:rsidP="00C41EAD">
      <w:pPr>
        <w:shd w:val="clear" w:color="auto" w:fill="FFFFFF"/>
        <w:spacing w:before="60" w:after="60"/>
        <w:rPr>
          <w:rFonts w:ascii="Times New Roman" w:hAnsi="Times New Roman" w:cs="Times New Roman"/>
          <w:b/>
          <w:sz w:val="24"/>
          <w:szCs w:val="24"/>
          <w:u w:val="single"/>
        </w:rPr>
      </w:pPr>
    </w:p>
    <w:p w:rsidR="00DC3FEB" w:rsidRPr="00777073" w:rsidRDefault="00DC3FEB" w:rsidP="00C41EAD">
      <w:pPr>
        <w:shd w:val="clear" w:color="auto" w:fill="FFFFFF"/>
        <w:spacing w:before="60" w:after="60"/>
        <w:rPr>
          <w:rFonts w:ascii="Times New Roman" w:hAnsi="Times New Roman" w:cs="Times New Roman"/>
          <w:sz w:val="24"/>
          <w:szCs w:val="24"/>
        </w:rPr>
      </w:pPr>
      <w:r w:rsidRPr="00777073">
        <w:rPr>
          <w:rFonts w:ascii="Times New Roman" w:hAnsi="Times New Roman" w:cs="Times New Roman"/>
          <w:sz w:val="24"/>
          <w:szCs w:val="24"/>
        </w:rPr>
        <w:t>As the below chart indicates, the mean number of advisees per advisor across the college was 24, ranging from 4 to 86 advisees, at mid-year.  This wide range suggests great heterogeneity in the number of advisees per advisor in this distribution.  Therefore, we broke out advising into categories:  professional advisors, specialists, untenured and instructional faculty (category B), tenured faculty, and Deans (the Associate Dean of the College of Arts and Sciences and the Dean of Nursing and Health Professions provide d</w:t>
      </w:r>
      <w:r w:rsidR="00E858DE" w:rsidRPr="00777073">
        <w:rPr>
          <w:rFonts w:ascii="Times New Roman" w:hAnsi="Times New Roman" w:cs="Times New Roman"/>
          <w:sz w:val="24"/>
          <w:szCs w:val="24"/>
        </w:rPr>
        <w:t>irect advising to CAS students).</w:t>
      </w:r>
    </w:p>
    <w:p w:rsidR="00E858DE" w:rsidRPr="00777073" w:rsidRDefault="00E858DE" w:rsidP="00C41EAD">
      <w:pPr>
        <w:shd w:val="clear" w:color="auto" w:fill="FFFFFF"/>
        <w:spacing w:before="60" w:after="60"/>
        <w:rPr>
          <w:rFonts w:ascii="Times New Roman" w:hAnsi="Times New Roman" w:cs="Times New Roman"/>
          <w:sz w:val="24"/>
          <w:szCs w:val="24"/>
        </w:rPr>
      </w:pPr>
    </w:p>
    <w:p w:rsidR="00DC3FEB" w:rsidRPr="00777073" w:rsidRDefault="00DC3FEB" w:rsidP="00C41EAD">
      <w:pPr>
        <w:shd w:val="clear" w:color="auto" w:fill="FFFFFF"/>
        <w:spacing w:before="60" w:after="60"/>
        <w:rPr>
          <w:rFonts w:ascii="Times New Roman" w:hAnsi="Times New Roman" w:cs="Times New Roman"/>
          <w:sz w:val="24"/>
          <w:szCs w:val="24"/>
        </w:rPr>
      </w:pPr>
      <w:r w:rsidRPr="00777073">
        <w:rPr>
          <w:rFonts w:ascii="Times New Roman" w:hAnsi="Times New Roman" w:cs="Times New Roman"/>
          <w:sz w:val="24"/>
          <w:szCs w:val="24"/>
        </w:rPr>
        <w:t>Not surprisingly, professional advisors carried the greatest advising load</w:t>
      </w:r>
      <w:r w:rsidR="00904AE3" w:rsidRPr="00777073">
        <w:rPr>
          <w:rFonts w:ascii="Times New Roman" w:hAnsi="Times New Roman" w:cs="Times New Roman"/>
          <w:sz w:val="24"/>
          <w:szCs w:val="24"/>
        </w:rPr>
        <w:t>s</w:t>
      </w:r>
      <w:r w:rsidRPr="00777073">
        <w:rPr>
          <w:rFonts w:ascii="Times New Roman" w:hAnsi="Times New Roman" w:cs="Times New Roman"/>
          <w:sz w:val="24"/>
          <w:szCs w:val="24"/>
        </w:rPr>
        <w:t xml:space="preserve"> with a mea</w:t>
      </w:r>
      <w:r w:rsidR="00E858DE" w:rsidRPr="00777073">
        <w:rPr>
          <w:rFonts w:ascii="Times New Roman" w:hAnsi="Times New Roman" w:cs="Times New Roman"/>
          <w:sz w:val="24"/>
          <w:szCs w:val="24"/>
        </w:rPr>
        <w:t>n of 80 advisees per advisor.  S</w:t>
      </w:r>
      <w:r w:rsidRPr="00777073">
        <w:rPr>
          <w:rFonts w:ascii="Times New Roman" w:hAnsi="Times New Roman" w:cs="Times New Roman"/>
          <w:sz w:val="24"/>
          <w:szCs w:val="24"/>
        </w:rPr>
        <w:t>pecialists represented the group with the next largest load</w:t>
      </w:r>
      <w:r w:rsidR="00904AE3" w:rsidRPr="00777073">
        <w:rPr>
          <w:rFonts w:ascii="Times New Roman" w:hAnsi="Times New Roman" w:cs="Times New Roman"/>
          <w:sz w:val="24"/>
          <w:szCs w:val="24"/>
        </w:rPr>
        <w:t>, carrying a mean number of 35 advisees per advisor, followed by untenured/instructional faculty with a mean of 20 advisees per advisor. The lightest advising loads were carried by the tenured faculty, with a mean number of 15 advisees per advisor.</w:t>
      </w:r>
    </w:p>
    <w:p w:rsidR="00E858DE" w:rsidRPr="00777073" w:rsidRDefault="00E858DE" w:rsidP="00C41EAD">
      <w:pPr>
        <w:shd w:val="clear" w:color="auto" w:fill="FFFFFF"/>
        <w:spacing w:before="60" w:after="60"/>
        <w:rPr>
          <w:rFonts w:ascii="Times New Roman" w:hAnsi="Times New Roman" w:cs="Times New Roman"/>
          <w:sz w:val="24"/>
          <w:szCs w:val="24"/>
        </w:rPr>
      </w:pPr>
    </w:p>
    <w:p w:rsidR="00E858DE" w:rsidRPr="00777073" w:rsidRDefault="00E858DE" w:rsidP="00C41EAD">
      <w:pPr>
        <w:shd w:val="clear" w:color="auto" w:fill="FFFFFF"/>
        <w:spacing w:before="60" w:after="60"/>
        <w:rPr>
          <w:rFonts w:ascii="Times New Roman" w:hAnsi="Times New Roman" w:cs="Times New Roman"/>
          <w:sz w:val="24"/>
          <w:szCs w:val="24"/>
        </w:rPr>
      </w:pPr>
    </w:p>
    <w:p w:rsidR="00777073" w:rsidRDefault="00777073" w:rsidP="00C41EAD">
      <w:pPr>
        <w:shd w:val="clear" w:color="auto" w:fill="FFFFFF"/>
        <w:spacing w:before="60" w:after="60"/>
        <w:rPr>
          <w:rFonts w:ascii="Times New Roman" w:hAnsi="Times New Roman" w:cs="Times New Roman"/>
          <w:sz w:val="24"/>
          <w:szCs w:val="24"/>
        </w:rPr>
      </w:pPr>
    </w:p>
    <w:p w:rsidR="00777073" w:rsidRDefault="00777073" w:rsidP="00C41EAD">
      <w:pPr>
        <w:shd w:val="clear" w:color="auto" w:fill="FFFFFF"/>
        <w:spacing w:before="60" w:after="60"/>
        <w:rPr>
          <w:rFonts w:ascii="Times New Roman" w:hAnsi="Times New Roman" w:cs="Times New Roman"/>
          <w:sz w:val="24"/>
          <w:szCs w:val="24"/>
        </w:rPr>
      </w:pPr>
    </w:p>
    <w:p w:rsidR="00777073" w:rsidRDefault="00777073" w:rsidP="00C41EAD">
      <w:pPr>
        <w:shd w:val="clear" w:color="auto" w:fill="FFFFFF"/>
        <w:spacing w:before="60" w:after="60"/>
        <w:rPr>
          <w:rFonts w:ascii="Times New Roman" w:hAnsi="Times New Roman" w:cs="Times New Roman"/>
          <w:sz w:val="24"/>
          <w:szCs w:val="24"/>
        </w:rPr>
      </w:pPr>
    </w:p>
    <w:p w:rsidR="00E858DE" w:rsidRPr="00777073" w:rsidRDefault="00E858DE" w:rsidP="00C41EAD">
      <w:pPr>
        <w:shd w:val="clear" w:color="auto" w:fill="FFFFFF"/>
        <w:spacing w:before="60" w:after="60"/>
        <w:rPr>
          <w:rFonts w:ascii="Times New Roman" w:hAnsi="Times New Roman" w:cs="Times New Roman"/>
          <w:sz w:val="24"/>
          <w:szCs w:val="24"/>
        </w:rPr>
      </w:pPr>
      <w:r w:rsidRPr="00777073">
        <w:rPr>
          <w:rFonts w:ascii="Times New Roman" w:hAnsi="Times New Roman" w:cs="Times New Roman"/>
          <w:sz w:val="24"/>
          <w:szCs w:val="24"/>
        </w:rPr>
        <w:lastRenderedPageBreak/>
        <w:t>Table 1:  Mean advisees per advisor, as a function of advisor status</w:t>
      </w:r>
    </w:p>
    <w:p w:rsidR="005E07F0" w:rsidRPr="00777073" w:rsidRDefault="005E07F0" w:rsidP="00C41EAD">
      <w:pPr>
        <w:shd w:val="clear" w:color="auto" w:fill="FFFFFF"/>
        <w:spacing w:before="60" w:after="6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2538"/>
        <w:gridCol w:w="1292"/>
        <w:gridCol w:w="1915"/>
      </w:tblGrid>
      <w:tr w:rsidR="00DC3FEB" w:rsidRPr="00777073" w:rsidTr="00DC3FEB">
        <w:tc>
          <w:tcPr>
            <w:tcW w:w="2538" w:type="dxa"/>
          </w:tcPr>
          <w:p w:rsidR="00DC3FEB" w:rsidRPr="00777073" w:rsidRDefault="00DC3FEB" w:rsidP="00C41EAD">
            <w:pPr>
              <w:spacing w:before="60" w:after="60"/>
              <w:rPr>
                <w:rFonts w:ascii="Times New Roman" w:hAnsi="Times New Roman" w:cs="Times New Roman"/>
                <w:sz w:val="24"/>
                <w:szCs w:val="24"/>
              </w:rPr>
            </w:pPr>
          </w:p>
        </w:tc>
        <w:tc>
          <w:tcPr>
            <w:tcW w:w="1292" w:type="dxa"/>
          </w:tcPr>
          <w:p w:rsidR="00DC3FEB" w:rsidRPr="00777073" w:rsidRDefault="00DC3FEB" w:rsidP="00C41EAD">
            <w:pPr>
              <w:spacing w:before="60" w:after="60"/>
              <w:rPr>
                <w:rFonts w:ascii="Times New Roman" w:hAnsi="Times New Roman" w:cs="Times New Roman"/>
                <w:sz w:val="24"/>
                <w:szCs w:val="24"/>
              </w:rPr>
            </w:pPr>
            <w:r w:rsidRPr="00777073">
              <w:rPr>
                <w:rFonts w:ascii="Times New Roman" w:hAnsi="Times New Roman" w:cs="Times New Roman"/>
                <w:sz w:val="24"/>
                <w:szCs w:val="24"/>
              </w:rPr>
              <w:t>Mean Number of Advisees</w:t>
            </w:r>
          </w:p>
        </w:tc>
        <w:tc>
          <w:tcPr>
            <w:tcW w:w="1915" w:type="dxa"/>
          </w:tcPr>
          <w:p w:rsidR="00DC3FEB" w:rsidRPr="00777073" w:rsidRDefault="00DC3FEB" w:rsidP="00C41EAD">
            <w:pPr>
              <w:spacing w:before="60" w:after="60"/>
              <w:rPr>
                <w:rFonts w:ascii="Times New Roman" w:hAnsi="Times New Roman" w:cs="Times New Roman"/>
                <w:sz w:val="24"/>
                <w:szCs w:val="24"/>
              </w:rPr>
            </w:pPr>
            <w:r w:rsidRPr="00777073">
              <w:rPr>
                <w:rFonts w:ascii="Times New Roman" w:hAnsi="Times New Roman" w:cs="Times New Roman"/>
                <w:sz w:val="24"/>
                <w:szCs w:val="24"/>
              </w:rPr>
              <w:t>Range</w:t>
            </w:r>
          </w:p>
        </w:tc>
      </w:tr>
      <w:tr w:rsidR="00DC3FEB" w:rsidRPr="00777073" w:rsidTr="00DC3FEB">
        <w:tc>
          <w:tcPr>
            <w:tcW w:w="2538" w:type="dxa"/>
          </w:tcPr>
          <w:p w:rsidR="00DC3FEB" w:rsidRPr="00777073" w:rsidRDefault="00DC3FEB" w:rsidP="00C41EAD">
            <w:pPr>
              <w:spacing w:before="60" w:after="60"/>
              <w:rPr>
                <w:rFonts w:ascii="Times New Roman" w:hAnsi="Times New Roman" w:cs="Times New Roman"/>
                <w:b/>
                <w:sz w:val="24"/>
                <w:szCs w:val="24"/>
              </w:rPr>
            </w:pPr>
            <w:r w:rsidRPr="00777073">
              <w:rPr>
                <w:rFonts w:ascii="Times New Roman" w:hAnsi="Times New Roman" w:cs="Times New Roman"/>
                <w:b/>
                <w:sz w:val="24"/>
                <w:szCs w:val="24"/>
              </w:rPr>
              <w:t>All Advisors</w:t>
            </w:r>
          </w:p>
        </w:tc>
        <w:tc>
          <w:tcPr>
            <w:tcW w:w="1292" w:type="dxa"/>
          </w:tcPr>
          <w:p w:rsidR="00DC3FEB" w:rsidRPr="00777073" w:rsidRDefault="00DC3FEB" w:rsidP="00C41EAD">
            <w:pPr>
              <w:spacing w:before="60" w:after="60"/>
              <w:rPr>
                <w:rFonts w:ascii="Times New Roman" w:hAnsi="Times New Roman" w:cs="Times New Roman"/>
                <w:b/>
                <w:sz w:val="24"/>
                <w:szCs w:val="24"/>
              </w:rPr>
            </w:pPr>
            <w:r w:rsidRPr="00777073">
              <w:rPr>
                <w:rFonts w:ascii="Times New Roman" w:hAnsi="Times New Roman" w:cs="Times New Roman"/>
                <w:b/>
                <w:sz w:val="24"/>
                <w:szCs w:val="24"/>
              </w:rPr>
              <w:t>24</w:t>
            </w:r>
          </w:p>
        </w:tc>
        <w:tc>
          <w:tcPr>
            <w:tcW w:w="1915" w:type="dxa"/>
          </w:tcPr>
          <w:p w:rsidR="00DC3FEB" w:rsidRPr="00777073" w:rsidRDefault="00DC3FEB" w:rsidP="00C41EAD">
            <w:pPr>
              <w:spacing w:before="60" w:after="60"/>
              <w:rPr>
                <w:rFonts w:ascii="Times New Roman" w:hAnsi="Times New Roman" w:cs="Times New Roman"/>
                <w:b/>
                <w:sz w:val="24"/>
                <w:szCs w:val="24"/>
              </w:rPr>
            </w:pPr>
            <w:r w:rsidRPr="00777073">
              <w:rPr>
                <w:rFonts w:ascii="Times New Roman" w:hAnsi="Times New Roman" w:cs="Times New Roman"/>
                <w:b/>
                <w:sz w:val="24"/>
                <w:szCs w:val="24"/>
              </w:rPr>
              <w:t>4-86</w:t>
            </w:r>
          </w:p>
        </w:tc>
      </w:tr>
      <w:tr w:rsidR="00DC3FEB" w:rsidRPr="00777073" w:rsidTr="00DC3FEB">
        <w:tc>
          <w:tcPr>
            <w:tcW w:w="2538" w:type="dxa"/>
          </w:tcPr>
          <w:p w:rsidR="00DC3FEB" w:rsidRPr="00777073" w:rsidRDefault="00DC3FEB" w:rsidP="00C41EAD">
            <w:pPr>
              <w:spacing w:before="60" w:after="60"/>
              <w:rPr>
                <w:rFonts w:ascii="Times New Roman" w:hAnsi="Times New Roman" w:cs="Times New Roman"/>
                <w:sz w:val="24"/>
                <w:szCs w:val="24"/>
              </w:rPr>
            </w:pPr>
            <w:r w:rsidRPr="00777073">
              <w:rPr>
                <w:rFonts w:ascii="Times New Roman" w:hAnsi="Times New Roman" w:cs="Times New Roman"/>
                <w:sz w:val="24"/>
                <w:szCs w:val="24"/>
              </w:rPr>
              <w:t>Tenured Faculty</w:t>
            </w:r>
          </w:p>
        </w:tc>
        <w:tc>
          <w:tcPr>
            <w:tcW w:w="1292" w:type="dxa"/>
          </w:tcPr>
          <w:p w:rsidR="00DC3FEB" w:rsidRPr="00777073" w:rsidRDefault="00DC3FEB" w:rsidP="00C41EAD">
            <w:pPr>
              <w:spacing w:before="60" w:after="60"/>
              <w:rPr>
                <w:rFonts w:ascii="Times New Roman" w:hAnsi="Times New Roman" w:cs="Times New Roman"/>
                <w:sz w:val="24"/>
                <w:szCs w:val="24"/>
              </w:rPr>
            </w:pPr>
            <w:r w:rsidRPr="00777073">
              <w:rPr>
                <w:rFonts w:ascii="Times New Roman" w:hAnsi="Times New Roman" w:cs="Times New Roman"/>
                <w:sz w:val="24"/>
                <w:szCs w:val="24"/>
              </w:rPr>
              <w:t>15</w:t>
            </w:r>
          </w:p>
        </w:tc>
        <w:tc>
          <w:tcPr>
            <w:tcW w:w="1915" w:type="dxa"/>
          </w:tcPr>
          <w:p w:rsidR="00DC3FEB" w:rsidRPr="00777073" w:rsidRDefault="00DC3FEB" w:rsidP="00C41EAD">
            <w:pPr>
              <w:spacing w:before="60" w:after="60"/>
              <w:rPr>
                <w:rFonts w:ascii="Times New Roman" w:hAnsi="Times New Roman" w:cs="Times New Roman"/>
                <w:sz w:val="24"/>
                <w:szCs w:val="24"/>
              </w:rPr>
            </w:pPr>
            <w:r w:rsidRPr="00777073">
              <w:rPr>
                <w:rFonts w:ascii="Times New Roman" w:hAnsi="Times New Roman" w:cs="Times New Roman"/>
                <w:sz w:val="24"/>
                <w:szCs w:val="24"/>
              </w:rPr>
              <w:t>8-30</w:t>
            </w:r>
          </w:p>
        </w:tc>
      </w:tr>
      <w:tr w:rsidR="00DC3FEB" w:rsidRPr="00777073" w:rsidTr="00DC3FEB">
        <w:tc>
          <w:tcPr>
            <w:tcW w:w="2538" w:type="dxa"/>
          </w:tcPr>
          <w:p w:rsidR="00DC3FEB" w:rsidRPr="00777073" w:rsidRDefault="00DC3FEB" w:rsidP="00C41EAD">
            <w:pPr>
              <w:spacing w:before="60" w:after="60"/>
              <w:rPr>
                <w:rFonts w:ascii="Times New Roman" w:hAnsi="Times New Roman" w:cs="Times New Roman"/>
                <w:sz w:val="24"/>
                <w:szCs w:val="24"/>
              </w:rPr>
            </w:pPr>
            <w:r w:rsidRPr="00777073">
              <w:rPr>
                <w:rFonts w:ascii="Times New Roman" w:hAnsi="Times New Roman" w:cs="Times New Roman"/>
                <w:sz w:val="24"/>
                <w:szCs w:val="24"/>
              </w:rPr>
              <w:t>Untenured/Instructional Faculty</w:t>
            </w:r>
          </w:p>
        </w:tc>
        <w:tc>
          <w:tcPr>
            <w:tcW w:w="1292" w:type="dxa"/>
          </w:tcPr>
          <w:p w:rsidR="00DC3FEB" w:rsidRPr="00777073" w:rsidRDefault="00DC3FEB" w:rsidP="00C41EAD">
            <w:pPr>
              <w:spacing w:before="60" w:after="60"/>
              <w:rPr>
                <w:rFonts w:ascii="Times New Roman" w:hAnsi="Times New Roman" w:cs="Times New Roman"/>
                <w:sz w:val="24"/>
                <w:szCs w:val="24"/>
              </w:rPr>
            </w:pPr>
            <w:r w:rsidRPr="00777073">
              <w:rPr>
                <w:rFonts w:ascii="Times New Roman" w:hAnsi="Times New Roman" w:cs="Times New Roman"/>
                <w:sz w:val="24"/>
                <w:szCs w:val="24"/>
              </w:rPr>
              <w:t>20</w:t>
            </w:r>
          </w:p>
        </w:tc>
        <w:tc>
          <w:tcPr>
            <w:tcW w:w="1915" w:type="dxa"/>
          </w:tcPr>
          <w:p w:rsidR="00DC3FEB" w:rsidRPr="00777073" w:rsidRDefault="00DC3FEB" w:rsidP="00C41EAD">
            <w:pPr>
              <w:spacing w:before="60" w:after="60"/>
              <w:rPr>
                <w:rFonts w:ascii="Times New Roman" w:hAnsi="Times New Roman" w:cs="Times New Roman"/>
                <w:sz w:val="24"/>
                <w:szCs w:val="24"/>
              </w:rPr>
            </w:pPr>
            <w:r w:rsidRPr="00777073">
              <w:rPr>
                <w:rFonts w:ascii="Times New Roman" w:hAnsi="Times New Roman" w:cs="Times New Roman"/>
                <w:sz w:val="24"/>
                <w:szCs w:val="24"/>
              </w:rPr>
              <w:t>4-31</w:t>
            </w:r>
          </w:p>
        </w:tc>
      </w:tr>
      <w:tr w:rsidR="00904AE3" w:rsidRPr="00777073" w:rsidTr="00DC3FEB">
        <w:tc>
          <w:tcPr>
            <w:tcW w:w="2538" w:type="dxa"/>
          </w:tcPr>
          <w:p w:rsidR="00904AE3" w:rsidRPr="00777073" w:rsidRDefault="00904AE3" w:rsidP="00904AE3">
            <w:pPr>
              <w:spacing w:before="60" w:after="60"/>
              <w:rPr>
                <w:rFonts w:ascii="Times New Roman" w:hAnsi="Times New Roman" w:cs="Times New Roman"/>
                <w:sz w:val="24"/>
                <w:szCs w:val="24"/>
              </w:rPr>
            </w:pPr>
            <w:r w:rsidRPr="00777073">
              <w:rPr>
                <w:rFonts w:ascii="Times New Roman" w:hAnsi="Times New Roman" w:cs="Times New Roman"/>
                <w:sz w:val="24"/>
                <w:szCs w:val="24"/>
              </w:rPr>
              <w:t>Deans</w:t>
            </w:r>
          </w:p>
        </w:tc>
        <w:tc>
          <w:tcPr>
            <w:tcW w:w="1292" w:type="dxa"/>
          </w:tcPr>
          <w:p w:rsidR="00904AE3" w:rsidRPr="00777073" w:rsidRDefault="00904AE3" w:rsidP="00904AE3">
            <w:pPr>
              <w:spacing w:before="60" w:after="60"/>
              <w:rPr>
                <w:rFonts w:ascii="Times New Roman" w:hAnsi="Times New Roman" w:cs="Times New Roman"/>
                <w:sz w:val="24"/>
                <w:szCs w:val="24"/>
              </w:rPr>
            </w:pPr>
            <w:r w:rsidRPr="00777073">
              <w:rPr>
                <w:rFonts w:ascii="Times New Roman" w:hAnsi="Times New Roman" w:cs="Times New Roman"/>
                <w:sz w:val="24"/>
                <w:szCs w:val="24"/>
              </w:rPr>
              <w:t>36</w:t>
            </w:r>
          </w:p>
        </w:tc>
        <w:tc>
          <w:tcPr>
            <w:tcW w:w="1915" w:type="dxa"/>
          </w:tcPr>
          <w:p w:rsidR="00904AE3" w:rsidRPr="00777073" w:rsidRDefault="00904AE3" w:rsidP="00904AE3">
            <w:pPr>
              <w:spacing w:before="60" w:after="60"/>
              <w:rPr>
                <w:rFonts w:ascii="Times New Roman" w:hAnsi="Times New Roman" w:cs="Times New Roman"/>
                <w:sz w:val="24"/>
                <w:szCs w:val="24"/>
              </w:rPr>
            </w:pPr>
            <w:r w:rsidRPr="00777073">
              <w:rPr>
                <w:rFonts w:ascii="Times New Roman" w:hAnsi="Times New Roman" w:cs="Times New Roman"/>
                <w:sz w:val="24"/>
                <w:szCs w:val="24"/>
              </w:rPr>
              <w:t>9-58</w:t>
            </w:r>
            <w:r w:rsidR="00E858DE" w:rsidRPr="00777073">
              <w:rPr>
                <w:rFonts w:ascii="Times New Roman" w:hAnsi="Times New Roman" w:cs="Times New Roman"/>
                <w:sz w:val="24"/>
                <w:szCs w:val="24"/>
              </w:rPr>
              <w:t xml:space="preserve"> (n=2)</w:t>
            </w:r>
          </w:p>
        </w:tc>
      </w:tr>
      <w:tr w:rsidR="00904AE3" w:rsidRPr="00777073" w:rsidTr="00DC3FEB">
        <w:tc>
          <w:tcPr>
            <w:tcW w:w="2538" w:type="dxa"/>
          </w:tcPr>
          <w:p w:rsidR="00904AE3" w:rsidRPr="00777073" w:rsidRDefault="00904AE3" w:rsidP="00DC3FEB">
            <w:pPr>
              <w:spacing w:before="60" w:after="60"/>
              <w:rPr>
                <w:rFonts w:ascii="Times New Roman" w:hAnsi="Times New Roman" w:cs="Times New Roman"/>
                <w:sz w:val="24"/>
                <w:szCs w:val="24"/>
              </w:rPr>
            </w:pPr>
            <w:r w:rsidRPr="00777073">
              <w:rPr>
                <w:rFonts w:ascii="Times New Roman" w:hAnsi="Times New Roman" w:cs="Times New Roman"/>
                <w:sz w:val="24"/>
                <w:szCs w:val="24"/>
              </w:rPr>
              <w:t>Specialists</w:t>
            </w:r>
          </w:p>
        </w:tc>
        <w:tc>
          <w:tcPr>
            <w:tcW w:w="1292" w:type="dxa"/>
          </w:tcPr>
          <w:p w:rsidR="00904AE3" w:rsidRPr="00777073" w:rsidRDefault="00904AE3" w:rsidP="00DC3FEB">
            <w:pPr>
              <w:spacing w:before="60" w:after="60"/>
              <w:rPr>
                <w:rFonts w:ascii="Times New Roman" w:hAnsi="Times New Roman" w:cs="Times New Roman"/>
                <w:sz w:val="24"/>
                <w:szCs w:val="24"/>
              </w:rPr>
            </w:pPr>
            <w:r w:rsidRPr="00777073">
              <w:rPr>
                <w:rFonts w:ascii="Times New Roman" w:hAnsi="Times New Roman" w:cs="Times New Roman"/>
                <w:sz w:val="24"/>
                <w:szCs w:val="24"/>
              </w:rPr>
              <w:t>35</w:t>
            </w:r>
          </w:p>
        </w:tc>
        <w:tc>
          <w:tcPr>
            <w:tcW w:w="1915" w:type="dxa"/>
          </w:tcPr>
          <w:p w:rsidR="00904AE3" w:rsidRPr="00777073" w:rsidRDefault="00904AE3" w:rsidP="00DC3FEB">
            <w:pPr>
              <w:spacing w:before="60" w:after="60"/>
              <w:rPr>
                <w:rFonts w:ascii="Times New Roman" w:hAnsi="Times New Roman" w:cs="Times New Roman"/>
                <w:sz w:val="24"/>
                <w:szCs w:val="24"/>
              </w:rPr>
            </w:pPr>
            <w:r w:rsidRPr="00777073">
              <w:rPr>
                <w:rFonts w:ascii="Times New Roman" w:hAnsi="Times New Roman" w:cs="Times New Roman"/>
                <w:sz w:val="24"/>
                <w:szCs w:val="24"/>
              </w:rPr>
              <w:t>11-58</w:t>
            </w:r>
          </w:p>
        </w:tc>
      </w:tr>
      <w:tr w:rsidR="00904AE3" w:rsidRPr="00777073" w:rsidTr="00DC3FEB">
        <w:tc>
          <w:tcPr>
            <w:tcW w:w="2538" w:type="dxa"/>
          </w:tcPr>
          <w:p w:rsidR="00904AE3" w:rsidRPr="00777073" w:rsidRDefault="00904AE3" w:rsidP="00C41EAD">
            <w:pPr>
              <w:spacing w:before="60" w:after="60"/>
              <w:rPr>
                <w:rFonts w:ascii="Times New Roman" w:hAnsi="Times New Roman" w:cs="Times New Roman"/>
                <w:sz w:val="24"/>
                <w:szCs w:val="24"/>
              </w:rPr>
            </w:pPr>
            <w:r w:rsidRPr="00777073">
              <w:rPr>
                <w:rFonts w:ascii="Times New Roman" w:hAnsi="Times New Roman" w:cs="Times New Roman"/>
                <w:sz w:val="24"/>
                <w:szCs w:val="24"/>
              </w:rPr>
              <w:t>Professional Advising</w:t>
            </w:r>
          </w:p>
        </w:tc>
        <w:tc>
          <w:tcPr>
            <w:tcW w:w="1292" w:type="dxa"/>
          </w:tcPr>
          <w:p w:rsidR="00904AE3" w:rsidRPr="00777073" w:rsidRDefault="00904AE3" w:rsidP="00C41EAD">
            <w:pPr>
              <w:spacing w:before="60" w:after="60"/>
              <w:rPr>
                <w:rFonts w:ascii="Times New Roman" w:hAnsi="Times New Roman" w:cs="Times New Roman"/>
                <w:sz w:val="24"/>
                <w:szCs w:val="24"/>
              </w:rPr>
            </w:pPr>
            <w:r w:rsidRPr="00777073">
              <w:rPr>
                <w:rFonts w:ascii="Times New Roman" w:hAnsi="Times New Roman" w:cs="Times New Roman"/>
                <w:sz w:val="24"/>
                <w:szCs w:val="24"/>
              </w:rPr>
              <w:t>80</w:t>
            </w:r>
          </w:p>
        </w:tc>
        <w:tc>
          <w:tcPr>
            <w:tcW w:w="1915" w:type="dxa"/>
          </w:tcPr>
          <w:p w:rsidR="00904AE3" w:rsidRPr="00777073" w:rsidRDefault="00904AE3" w:rsidP="00C41EAD">
            <w:pPr>
              <w:spacing w:before="60" w:after="60"/>
              <w:rPr>
                <w:rFonts w:ascii="Times New Roman" w:hAnsi="Times New Roman" w:cs="Times New Roman"/>
                <w:sz w:val="24"/>
                <w:szCs w:val="24"/>
              </w:rPr>
            </w:pPr>
            <w:r w:rsidRPr="00777073">
              <w:rPr>
                <w:rFonts w:ascii="Times New Roman" w:hAnsi="Times New Roman" w:cs="Times New Roman"/>
                <w:sz w:val="24"/>
                <w:szCs w:val="24"/>
              </w:rPr>
              <w:t>73-86</w:t>
            </w:r>
          </w:p>
        </w:tc>
      </w:tr>
    </w:tbl>
    <w:p w:rsidR="001877D7" w:rsidRPr="00777073" w:rsidRDefault="001877D7" w:rsidP="0095736E">
      <w:pPr>
        <w:rPr>
          <w:rFonts w:ascii="Times New Roman" w:hAnsi="Times New Roman" w:cs="Times New Roman"/>
          <w:b/>
          <w:sz w:val="24"/>
          <w:szCs w:val="24"/>
          <w:u w:val="single"/>
        </w:rPr>
      </w:pPr>
    </w:p>
    <w:p w:rsidR="0095736E" w:rsidRPr="00777073" w:rsidRDefault="00B2109F" w:rsidP="0095736E">
      <w:pPr>
        <w:rPr>
          <w:rFonts w:ascii="Times New Roman" w:hAnsi="Times New Roman" w:cs="Times New Roman"/>
          <w:b/>
          <w:sz w:val="24"/>
          <w:szCs w:val="24"/>
          <w:u w:val="single"/>
        </w:rPr>
      </w:pPr>
      <w:r w:rsidRPr="00777073">
        <w:rPr>
          <w:rFonts w:ascii="Times New Roman" w:hAnsi="Times New Roman" w:cs="Times New Roman"/>
          <w:b/>
          <w:sz w:val="24"/>
          <w:szCs w:val="24"/>
          <w:u w:val="single"/>
        </w:rPr>
        <w:t>F</w:t>
      </w:r>
      <w:r w:rsidR="0095736E" w:rsidRPr="00777073">
        <w:rPr>
          <w:rFonts w:ascii="Times New Roman" w:hAnsi="Times New Roman" w:cs="Times New Roman"/>
          <w:b/>
          <w:sz w:val="24"/>
          <w:szCs w:val="24"/>
          <w:u w:val="single"/>
        </w:rPr>
        <w:t>all 201</w:t>
      </w:r>
      <w:r w:rsidR="00B25EE5" w:rsidRPr="00777073">
        <w:rPr>
          <w:rFonts w:ascii="Times New Roman" w:hAnsi="Times New Roman" w:cs="Times New Roman"/>
          <w:b/>
          <w:sz w:val="24"/>
          <w:szCs w:val="24"/>
          <w:u w:val="single"/>
        </w:rPr>
        <w:t>2</w:t>
      </w:r>
      <w:r w:rsidR="009654B4" w:rsidRPr="00777073">
        <w:rPr>
          <w:rFonts w:ascii="Times New Roman" w:hAnsi="Times New Roman" w:cs="Times New Roman"/>
          <w:b/>
          <w:sz w:val="24"/>
          <w:szCs w:val="24"/>
          <w:u w:val="single"/>
        </w:rPr>
        <w:t>-Spring 2013</w:t>
      </w:r>
      <w:r w:rsidR="0095736E" w:rsidRPr="00777073">
        <w:rPr>
          <w:rFonts w:ascii="Times New Roman" w:hAnsi="Times New Roman" w:cs="Times New Roman"/>
          <w:b/>
          <w:sz w:val="24"/>
          <w:szCs w:val="24"/>
          <w:u w:val="single"/>
        </w:rPr>
        <w:t xml:space="preserve"> </w:t>
      </w:r>
      <w:r w:rsidRPr="00777073">
        <w:rPr>
          <w:rFonts w:ascii="Times New Roman" w:hAnsi="Times New Roman" w:cs="Times New Roman"/>
          <w:b/>
          <w:sz w:val="24"/>
          <w:szCs w:val="24"/>
          <w:u w:val="single"/>
        </w:rPr>
        <w:t>Academic Standing</w:t>
      </w:r>
      <w:r w:rsidR="0095736E" w:rsidRPr="00777073">
        <w:rPr>
          <w:rFonts w:ascii="Times New Roman" w:hAnsi="Times New Roman" w:cs="Times New Roman"/>
          <w:b/>
          <w:sz w:val="24"/>
          <w:szCs w:val="24"/>
          <w:u w:val="single"/>
        </w:rPr>
        <w:t xml:space="preserve">: </w:t>
      </w:r>
    </w:p>
    <w:p w:rsidR="00777073" w:rsidRPr="006235AF" w:rsidRDefault="006235AF" w:rsidP="0095736E">
      <w:pPr>
        <w:rPr>
          <w:rFonts w:ascii="Times New Roman" w:hAnsi="Times New Roman" w:cs="Times New Roman"/>
          <w:sz w:val="24"/>
          <w:szCs w:val="24"/>
        </w:rPr>
      </w:pPr>
      <w:r w:rsidRPr="006235AF">
        <w:rPr>
          <w:rFonts w:ascii="Times New Roman" w:hAnsi="Times New Roman" w:cs="Times New Roman"/>
          <w:sz w:val="24"/>
          <w:szCs w:val="24"/>
        </w:rPr>
        <w:t>Table 2:</w:t>
      </w:r>
      <w:r>
        <w:rPr>
          <w:rFonts w:ascii="Times New Roman" w:hAnsi="Times New Roman" w:cs="Times New Roman"/>
          <w:sz w:val="24"/>
          <w:szCs w:val="24"/>
        </w:rPr>
        <w:t xml:space="preserve"> Academic standing comparison, Fall to Fall and Spring to Spring for 2012-2013</w:t>
      </w:r>
    </w:p>
    <w:tbl>
      <w:tblPr>
        <w:tblStyle w:val="TableGrid"/>
        <w:tblW w:w="0" w:type="auto"/>
        <w:tblLayout w:type="fixed"/>
        <w:tblLook w:val="04A0" w:firstRow="1" w:lastRow="0" w:firstColumn="1" w:lastColumn="0" w:noHBand="0" w:noVBand="1"/>
      </w:tblPr>
      <w:tblGrid>
        <w:gridCol w:w="807"/>
        <w:gridCol w:w="1191"/>
        <w:gridCol w:w="1080"/>
        <w:gridCol w:w="1080"/>
        <w:gridCol w:w="923"/>
        <w:gridCol w:w="1237"/>
        <w:gridCol w:w="1069"/>
        <w:gridCol w:w="1091"/>
        <w:gridCol w:w="1098"/>
      </w:tblGrid>
      <w:tr w:rsidR="00F459A3" w:rsidRPr="00777073" w:rsidTr="00F459A3">
        <w:tc>
          <w:tcPr>
            <w:tcW w:w="807" w:type="dxa"/>
          </w:tcPr>
          <w:p w:rsidR="00F459A3" w:rsidRPr="00777073" w:rsidRDefault="00F459A3" w:rsidP="00253927">
            <w:pPr>
              <w:jc w:val="center"/>
              <w:rPr>
                <w:rFonts w:ascii="Times New Roman" w:hAnsi="Times New Roman" w:cs="Times New Roman"/>
                <w:sz w:val="24"/>
                <w:szCs w:val="24"/>
              </w:rPr>
            </w:pPr>
          </w:p>
        </w:tc>
        <w:tc>
          <w:tcPr>
            <w:tcW w:w="2271" w:type="dxa"/>
            <w:gridSpan w:val="2"/>
          </w:tcPr>
          <w:p w:rsidR="00F459A3" w:rsidRPr="00777073" w:rsidRDefault="00F459A3" w:rsidP="00253927">
            <w:pPr>
              <w:jc w:val="center"/>
              <w:rPr>
                <w:rFonts w:ascii="Times New Roman" w:hAnsi="Times New Roman" w:cs="Times New Roman"/>
                <w:sz w:val="24"/>
                <w:szCs w:val="24"/>
              </w:rPr>
            </w:pPr>
            <w:r w:rsidRPr="00777073">
              <w:rPr>
                <w:rFonts w:ascii="Times New Roman" w:hAnsi="Times New Roman" w:cs="Times New Roman"/>
                <w:sz w:val="24"/>
                <w:szCs w:val="24"/>
              </w:rPr>
              <w:t>Fall 2011</w:t>
            </w:r>
          </w:p>
        </w:tc>
        <w:tc>
          <w:tcPr>
            <w:tcW w:w="2003" w:type="dxa"/>
            <w:gridSpan w:val="2"/>
          </w:tcPr>
          <w:p w:rsidR="00F459A3" w:rsidRPr="00777073" w:rsidRDefault="00F459A3" w:rsidP="00253927">
            <w:pPr>
              <w:jc w:val="center"/>
              <w:rPr>
                <w:rFonts w:ascii="Times New Roman" w:hAnsi="Times New Roman" w:cs="Times New Roman"/>
                <w:sz w:val="24"/>
                <w:szCs w:val="24"/>
              </w:rPr>
            </w:pPr>
            <w:r w:rsidRPr="00777073">
              <w:rPr>
                <w:rFonts w:ascii="Times New Roman" w:hAnsi="Times New Roman" w:cs="Times New Roman"/>
                <w:sz w:val="24"/>
                <w:szCs w:val="24"/>
              </w:rPr>
              <w:t>Spring 2012</w:t>
            </w:r>
          </w:p>
        </w:tc>
        <w:tc>
          <w:tcPr>
            <w:tcW w:w="2306" w:type="dxa"/>
            <w:gridSpan w:val="2"/>
          </w:tcPr>
          <w:p w:rsidR="00F459A3" w:rsidRPr="00777073" w:rsidRDefault="00F459A3" w:rsidP="00253927">
            <w:pPr>
              <w:jc w:val="center"/>
              <w:rPr>
                <w:rFonts w:ascii="Times New Roman" w:hAnsi="Times New Roman" w:cs="Times New Roman"/>
                <w:sz w:val="24"/>
                <w:szCs w:val="24"/>
              </w:rPr>
            </w:pPr>
            <w:r w:rsidRPr="00777073">
              <w:rPr>
                <w:rFonts w:ascii="Times New Roman" w:hAnsi="Times New Roman" w:cs="Times New Roman"/>
                <w:sz w:val="24"/>
                <w:szCs w:val="24"/>
              </w:rPr>
              <w:t>Fall 2012</w:t>
            </w:r>
          </w:p>
        </w:tc>
        <w:tc>
          <w:tcPr>
            <w:tcW w:w="2189" w:type="dxa"/>
            <w:gridSpan w:val="2"/>
          </w:tcPr>
          <w:p w:rsidR="00F459A3" w:rsidRPr="00777073" w:rsidRDefault="00F459A3" w:rsidP="00253927">
            <w:pPr>
              <w:jc w:val="center"/>
              <w:rPr>
                <w:rFonts w:ascii="Times New Roman" w:hAnsi="Times New Roman" w:cs="Times New Roman"/>
                <w:sz w:val="24"/>
                <w:szCs w:val="24"/>
              </w:rPr>
            </w:pPr>
            <w:r w:rsidRPr="00777073">
              <w:rPr>
                <w:rFonts w:ascii="Times New Roman" w:hAnsi="Times New Roman" w:cs="Times New Roman"/>
                <w:sz w:val="24"/>
                <w:szCs w:val="24"/>
              </w:rPr>
              <w:t>Spring 2013</w:t>
            </w:r>
          </w:p>
        </w:tc>
      </w:tr>
      <w:tr w:rsidR="00F459A3" w:rsidRPr="00777073" w:rsidTr="00F459A3">
        <w:tc>
          <w:tcPr>
            <w:tcW w:w="807" w:type="dxa"/>
          </w:tcPr>
          <w:p w:rsidR="00F459A3" w:rsidRPr="00777073" w:rsidRDefault="00F459A3" w:rsidP="0095736E">
            <w:pPr>
              <w:rPr>
                <w:rFonts w:ascii="Times New Roman" w:hAnsi="Times New Roman" w:cs="Times New Roman"/>
                <w:sz w:val="24"/>
                <w:szCs w:val="24"/>
              </w:rPr>
            </w:pPr>
          </w:p>
        </w:tc>
        <w:tc>
          <w:tcPr>
            <w:tcW w:w="1191" w:type="dxa"/>
          </w:tcPr>
          <w:p w:rsidR="00F459A3" w:rsidRPr="00777073" w:rsidRDefault="00F459A3" w:rsidP="0095736E">
            <w:pPr>
              <w:rPr>
                <w:rFonts w:ascii="Times New Roman" w:hAnsi="Times New Roman" w:cs="Times New Roman"/>
                <w:sz w:val="24"/>
                <w:szCs w:val="24"/>
              </w:rPr>
            </w:pPr>
            <w:r w:rsidRPr="00777073">
              <w:rPr>
                <w:rFonts w:ascii="Times New Roman" w:hAnsi="Times New Roman" w:cs="Times New Roman"/>
                <w:sz w:val="24"/>
                <w:szCs w:val="24"/>
              </w:rPr>
              <w:t>% of students</w:t>
            </w:r>
          </w:p>
        </w:tc>
        <w:tc>
          <w:tcPr>
            <w:tcW w:w="1080" w:type="dxa"/>
          </w:tcPr>
          <w:p w:rsidR="00F459A3" w:rsidRPr="00777073" w:rsidRDefault="00F459A3" w:rsidP="0095736E">
            <w:pPr>
              <w:rPr>
                <w:rFonts w:ascii="Times New Roman" w:hAnsi="Times New Roman" w:cs="Times New Roman"/>
                <w:sz w:val="24"/>
                <w:szCs w:val="24"/>
              </w:rPr>
            </w:pPr>
            <w:r>
              <w:rPr>
                <w:rFonts w:ascii="Times New Roman" w:hAnsi="Times New Roman" w:cs="Times New Roman"/>
                <w:sz w:val="24"/>
                <w:szCs w:val="24"/>
              </w:rPr>
              <w:t>% of probs</w:t>
            </w:r>
          </w:p>
        </w:tc>
        <w:tc>
          <w:tcPr>
            <w:tcW w:w="1080" w:type="dxa"/>
          </w:tcPr>
          <w:p w:rsidR="00F459A3" w:rsidRPr="00777073" w:rsidRDefault="00F459A3" w:rsidP="006235AF">
            <w:pPr>
              <w:rPr>
                <w:rFonts w:ascii="Times New Roman" w:hAnsi="Times New Roman" w:cs="Times New Roman"/>
                <w:sz w:val="24"/>
                <w:szCs w:val="24"/>
              </w:rPr>
            </w:pPr>
            <w:r w:rsidRPr="00777073">
              <w:rPr>
                <w:rFonts w:ascii="Times New Roman" w:hAnsi="Times New Roman" w:cs="Times New Roman"/>
                <w:sz w:val="24"/>
                <w:szCs w:val="24"/>
              </w:rPr>
              <w:t>% of students</w:t>
            </w:r>
          </w:p>
        </w:tc>
        <w:tc>
          <w:tcPr>
            <w:tcW w:w="923" w:type="dxa"/>
          </w:tcPr>
          <w:p w:rsidR="00F459A3" w:rsidRPr="00777073" w:rsidRDefault="00F459A3" w:rsidP="006235AF">
            <w:pPr>
              <w:rPr>
                <w:rFonts w:ascii="Times New Roman" w:hAnsi="Times New Roman" w:cs="Times New Roman"/>
                <w:sz w:val="24"/>
                <w:szCs w:val="24"/>
              </w:rPr>
            </w:pPr>
            <w:r>
              <w:rPr>
                <w:rFonts w:ascii="Times New Roman" w:hAnsi="Times New Roman" w:cs="Times New Roman"/>
                <w:sz w:val="24"/>
                <w:szCs w:val="24"/>
              </w:rPr>
              <w:t>% of probs</w:t>
            </w:r>
          </w:p>
        </w:tc>
        <w:tc>
          <w:tcPr>
            <w:tcW w:w="1237" w:type="dxa"/>
          </w:tcPr>
          <w:p w:rsidR="00F459A3" w:rsidRPr="00777073" w:rsidRDefault="00F459A3" w:rsidP="006235AF">
            <w:pPr>
              <w:rPr>
                <w:rFonts w:ascii="Times New Roman" w:hAnsi="Times New Roman" w:cs="Times New Roman"/>
                <w:sz w:val="24"/>
                <w:szCs w:val="24"/>
              </w:rPr>
            </w:pPr>
            <w:r w:rsidRPr="00777073">
              <w:rPr>
                <w:rFonts w:ascii="Times New Roman" w:hAnsi="Times New Roman" w:cs="Times New Roman"/>
                <w:sz w:val="24"/>
                <w:szCs w:val="24"/>
              </w:rPr>
              <w:t>% of students</w:t>
            </w:r>
          </w:p>
        </w:tc>
        <w:tc>
          <w:tcPr>
            <w:tcW w:w="1069" w:type="dxa"/>
          </w:tcPr>
          <w:p w:rsidR="00F459A3" w:rsidRPr="00777073" w:rsidRDefault="00F459A3" w:rsidP="006235AF">
            <w:pPr>
              <w:rPr>
                <w:rFonts w:ascii="Times New Roman" w:hAnsi="Times New Roman" w:cs="Times New Roman"/>
                <w:sz w:val="24"/>
                <w:szCs w:val="24"/>
              </w:rPr>
            </w:pPr>
            <w:r>
              <w:rPr>
                <w:rFonts w:ascii="Times New Roman" w:hAnsi="Times New Roman" w:cs="Times New Roman"/>
                <w:sz w:val="24"/>
                <w:szCs w:val="24"/>
              </w:rPr>
              <w:t>% of probs</w:t>
            </w:r>
          </w:p>
        </w:tc>
        <w:tc>
          <w:tcPr>
            <w:tcW w:w="1091" w:type="dxa"/>
          </w:tcPr>
          <w:p w:rsidR="00F459A3" w:rsidRPr="00777073" w:rsidRDefault="00F459A3" w:rsidP="006235AF">
            <w:pPr>
              <w:rPr>
                <w:rFonts w:ascii="Times New Roman" w:hAnsi="Times New Roman" w:cs="Times New Roman"/>
                <w:sz w:val="24"/>
                <w:szCs w:val="24"/>
              </w:rPr>
            </w:pPr>
            <w:r w:rsidRPr="00777073">
              <w:rPr>
                <w:rFonts w:ascii="Times New Roman" w:hAnsi="Times New Roman" w:cs="Times New Roman"/>
                <w:sz w:val="24"/>
                <w:szCs w:val="24"/>
              </w:rPr>
              <w:t>% of students</w:t>
            </w:r>
          </w:p>
        </w:tc>
        <w:tc>
          <w:tcPr>
            <w:tcW w:w="1098" w:type="dxa"/>
          </w:tcPr>
          <w:p w:rsidR="00F459A3" w:rsidRPr="00777073" w:rsidRDefault="00F459A3" w:rsidP="006235AF">
            <w:pPr>
              <w:rPr>
                <w:rFonts w:ascii="Times New Roman" w:hAnsi="Times New Roman" w:cs="Times New Roman"/>
                <w:sz w:val="24"/>
                <w:szCs w:val="24"/>
              </w:rPr>
            </w:pPr>
            <w:r>
              <w:rPr>
                <w:rFonts w:ascii="Times New Roman" w:hAnsi="Times New Roman" w:cs="Times New Roman"/>
                <w:sz w:val="24"/>
                <w:szCs w:val="24"/>
              </w:rPr>
              <w:t>% of probs</w:t>
            </w:r>
          </w:p>
        </w:tc>
      </w:tr>
      <w:tr w:rsidR="00F459A3" w:rsidRPr="00777073" w:rsidTr="00F459A3">
        <w:tc>
          <w:tcPr>
            <w:tcW w:w="807" w:type="dxa"/>
          </w:tcPr>
          <w:p w:rsidR="00F459A3" w:rsidRPr="00777073" w:rsidRDefault="00F459A3" w:rsidP="00777073">
            <w:pPr>
              <w:jc w:val="center"/>
              <w:rPr>
                <w:rFonts w:ascii="Times New Roman" w:hAnsi="Times New Roman" w:cs="Times New Roman"/>
                <w:sz w:val="24"/>
                <w:szCs w:val="24"/>
              </w:rPr>
            </w:pPr>
            <w:r>
              <w:rPr>
                <w:rFonts w:ascii="Times New Roman" w:hAnsi="Times New Roman" w:cs="Times New Roman"/>
                <w:sz w:val="24"/>
                <w:szCs w:val="24"/>
              </w:rPr>
              <w:t>All Probs.</w:t>
            </w:r>
          </w:p>
        </w:tc>
        <w:tc>
          <w:tcPr>
            <w:tcW w:w="1191" w:type="dxa"/>
          </w:tcPr>
          <w:p w:rsidR="00F459A3" w:rsidRPr="00777073" w:rsidRDefault="00F459A3" w:rsidP="00777073">
            <w:pPr>
              <w:jc w:val="center"/>
              <w:rPr>
                <w:rFonts w:ascii="Times New Roman" w:hAnsi="Times New Roman" w:cs="Times New Roman"/>
                <w:sz w:val="24"/>
                <w:szCs w:val="24"/>
              </w:rPr>
            </w:pPr>
            <w:r w:rsidRPr="00777073">
              <w:rPr>
                <w:rFonts w:ascii="Times New Roman" w:hAnsi="Times New Roman" w:cs="Times New Roman"/>
                <w:sz w:val="24"/>
                <w:szCs w:val="24"/>
              </w:rPr>
              <w:t>21.4%</w:t>
            </w:r>
          </w:p>
          <w:p w:rsidR="00F459A3" w:rsidRPr="00777073" w:rsidRDefault="00F459A3" w:rsidP="00777073">
            <w:pPr>
              <w:jc w:val="center"/>
              <w:rPr>
                <w:rFonts w:ascii="Times New Roman" w:hAnsi="Times New Roman" w:cs="Times New Roman"/>
                <w:sz w:val="24"/>
                <w:szCs w:val="24"/>
              </w:rPr>
            </w:pPr>
            <w:r w:rsidRPr="00777073">
              <w:rPr>
                <w:rFonts w:ascii="Times New Roman" w:hAnsi="Times New Roman" w:cs="Times New Roman"/>
                <w:sz w:val="24"/>
                <w:szCs w:val="24"/>
              </w:rPr>
              <w:t>224/1043</w:t>
            </w:r>
          </w:p>
        </w:tc>
        <w:tc>
          <w:tcPr>
            <w:tcW w:w="1080" w:type="dxa"/>
          </w:tcPr>
          <w:p w:rsidR="00F459A3" w:rsidRPr="00777073" w:rsidRDefault="00F459A3" w:rsidP="00777073">
            <w:pPr>
              <w:jc w:val="center"/>
              <w:rPr>
                <w:rFonts w:ascii="Times New Roman" w:hAnsi="Times New Roman" w:cs="Times New Roman"/>
                <w:sz w:val="24"/>
                <w:szCs w:val="24"/>
              </w:rPr>
            </w:pPr>
            <w:r w:rsidRPr="00777073">
              <w:rPr>
                <w:rFonts w:ascii="Times New Roman" w:hAnsi="Times New Roman" w:cs="Times New Roman"/>
                <w:sz w:val="24"/>
                <w:szCs w:val="24"/>
              </w:rPr>
              <w:t>100%</w:t>
            </w:r>
          </w:p>
        </w:tc>
        <w:tc>
          <w:tcPr>
            <w:tcW w:w="1080" w:type="dxa"/>
          </w:tcPr>
          <w:p w:rsidR="00F459A3" w:rsidRPr="00777073" w:rsidRDefault="00F459A3" w:rsidP="00777073">
            <w:pPr>
              <w:jc w:val="center"/>
              <w:rPr>
                <w:rFonts w:ascii="Times New Roman" w:hAnsi="Times New Roman" w:cs="Times New Roman"/>
                <w:sz w:val="24"/>
                <w:szCs w:val="24"/>
              </w:rPr>
            </w:pPr>
            <w:r w:rsidRPr="00777073">
              <w:rPr>
                <w:rFonts w:ascii="Times New Roman" w:hAnsi="Times New Roman" w:cs="Times New Roman"/>
                <w:sz w:val="24"/>
                <w:szCs w:val="24"/>
              </w:rPr>
              <w:t>23.8%</w:t>
            </w:r>
          </w:p>
          <w:p w:rsidR="00F459A3" w:rsidRPr="00777073" w:rsidRDefault="00F459A3" w:rsidP="00777073">
            <w:pPr>
              <w:jc w:val="center"/>
              <w:rPr>
                <w:rFonts w:ascii="Times New Roman" w:hAnsi="Times New Roman" w:cs="Times New Roman"/>
                <w:sz w:val="24"/>
                <w:szCs w:val="24"/>
              </w:rPr>
            </w:pPr>
            <w:r w:rsidRPr="00777073">
              <w:rPr>
                <w:rFonts w:ascii="Times New Roman" w:hAnsi="Times New Roman" w:cs="Times New Roman"/>
                <w:sz w:val="24"/>
                <w:szCs w:val="24"/>
              </w:rPr>
              <w:t>222/930</w:t>
            </w:r>
          </w:p>
        </w:tc>
        <w:tc>
          <w:tcPr>
            <w:tcW w:w="923" w:type="dxa"/>
          </w:tcPr>
          <w:p w:rsidR="00F459A3" w:rsidRPr="00777073" w:rsidRDefault="00F459A3" w:rsidP="00777073">
            <w:pPr>
              <w:jc w:val="center"/>
              <w:rPr>
                <w:rFonts w:ascii="Times New Roman" w:hAnsi="Times New Roman" w:cs="Times New Roman"/>
                <w:sz w:val="24"/>
                <w:szCs w:val="24"/>
              </w:rPr>
            </w:pPr>
            <w:r w:rsidRPr="00777073">
              <w:rPr>
                <w:rFonts w:ascii="Times New Roman" w:hAnsi="Times New Roman" w:cs="Times New Roman"/>
                <w:sz w:val="24"/>
                <w:szCs w:val="24"/>
              </w:rPr>
              <w:t>100%</w:t>
            </w:r>
          </w:p>
        </w:tc>
        <w:tc>
          <w:tcPr>
            <w:tcW w:w="1237" w:type="dxa"/>
          </w:tcPr>
          <w:p w:rsidR="00F459A3" w:rsidRPr="00777073" w:rsidRDefault="00F459A3" w:rsidP="00777073">
            <w:pPr>
              <w:jc w:val="center"/>
              <w:rPr>
                <w:rFonts w:ascii="Times New Roman" w:hAnsi="Times New Roman" w:cs="Times New Roman"/>
                <w:sz w:val="24"/>
                <w:szCs w:val="24"/>
              </w:rPr>
            </w:pPr>
            <w:r w:rsidRPr="00777073">
              <w:rPr>
                <w:rFonts w:ascii="Times New Roman" w:hAnsi="Times New Roman" w:cs="Times New Roman"/>
                <w:sz w:val="24"/>
                <w:szCs w:val="24"/>
              </w:rPr>
              <w:t>29%</w:t>
            </w:r>
          </w:p>
          <w:p w:rsidR="00F459A3" w:rsidRPr="00777073" w:rsidRDefault="00F459A3" w:rsidP="00777073">
            <w:pPr>
              <w:jc w:val="center"/>
              <w:rPr>
                <w:rFonts w:ascii="Times New Roman" w:hAnsi="Times New Roman" w:cs="Times New Roman"/>
                <w:sz w:val="24"/>
                <w:szCs w:val="24"/>
              </w:rPr>
            </w:pPr>
            <w:r w:rsidRPr="00777073">
              <w:rPr>
                <w:rFonts w:ascii="Times New Roman" w:hAnsi="Times New Roman" w:cs="Times New Roman"/>
                <w:sz w:val="24"/>
                <w:szCs w:val="24"/>
              </w:rPr>
              <w:t>303/1037</w:t>
            </w:r>
          </w:p>
        </w:tc>
        <w:tc>
          <w:tcPr>
            <w:tcW w:w="1069" w:type="dxa"/>
          </w:tcPr>
          <w:p w:rsidR="00F459A3" w:rsidRPr="00777073" w:rsidRDefault="00F459A3" w:rsidP="00777073">
            <w:pPr>
              <w:jc w:val="center"/>
              <w:rPr>
                <w:rFonts w:ascii="Times New Roman" w:hAnsi="Times New Roman" w:cs="Times New Roman"/>
                <w:sz w:val="24"/>
                <w:szCs w:val="24"/>
              </w:rPr>
            </w:pPr>
            <w:r w:rsidRPr="00777073">
              <w:rPr>
                <w:rFonts w:ascii="Times New Roman" w:hAnsi="Times New Roman" w:cs="Times New Roman"/>
                <w:sz w:val="24"/>
                <w:szCs w:val="24"/>
              </w:rPr>
              <w:t>100%</w:t>
            </w:r>
          </w:p>
        </w:tc>
        <w:tc>
          <w:tcPr>
            <w:tcW w:w="1091" w:type="dxa"/>
          </w:tcPr>
          <w:p w:rsidR="00F459A3" w:rsidRPr="00777073" w:rsidRDefault="00F459A3" w:rsidP="00777073">
            <w:pPr>
              <w:jc w:val="center"/>
              <w:rPr>
                <w:rFonts w:ascii="Times New Roman" w:hAnsi="Times New Roman" w:cs="Times New Roman"/>
                <w:sz w:val="24"/>
                <w:szCs w:val="24"/>
              </w:rPr>
            </w:pPr>
            <w:r w:rsidRPr="00777073">
              <w:rPr>
                <w:rFonts w:ascii="Times New Roman" w:hAnsi="Times New Roman" w:cs="Times New Roman"/>
                <w:sz w:val="24"/>
                <w:szCs w:val="24"/>
              </w:rPr>
              <w:t>26.6%</w:t>
            </w:r>
          </w:p>
          <w:p w:rsidR="00F459A3" w:rsidRPr="00777073" w:rsidRDefault="00F459A3" w:rsidP="00777073">
            <w:pPr>
              <w:jc w:val="center"/>
              <w:rPr>
                <w:rFonts w:ascii="Times New Roman" w:hAnsi="Times New Roman" w:cs="Times New Roman"/>
                <w:sz w:val="24"/>
                <w:szCs w:val="24"/>
              </w:rPr>
            </w:pPr>
            <w:r w:rsidRPr="00777073">
              <w:rPr>
                <w:rFonts w:ascii="Times New Roman" w:hAnsi="Times New Roman" w:cs="Times New Roman"/>
                <w:sz w:val="24"/>
                <w:szCs w:val="24"/>
              </w:rPr>
              <w:t>258/969</w:t>
            </w:r>
          </w:p>
        </w:tc>
        <w:tc>
          <w:tcPr>
            <w:tcW w:w="1098" w:type="dxa"/>
          </w:tcPr>
          <w:p w:rsidR="00F459A3" w:rsidRPr="00777073" w:rsidRDefault="00F459A3" w:rsidP="00777073">
            <w:pPr>
              <w:jc w:val="center"/>
              <w:rPr>
                <w:rFonts w:ascii="Times New Roman" w:hAnsi="Times New Roman" w:cs="Times New Roman"/>
                <w:sz w:val="24"/>
                <w:szCs w:val="24"/>
              </w:rPr>
            </w:pPr>
            <w:r w:rsidRPr="00777073">
              <w:rPr>
                <w:rFonts w:ascii="Times New Roman" w:hAnsi="Times New Roman" w:cs="Times New Roman"/>
                <w:sz w:val="24"/>
                <w:szCs w:val="24"/>
              </w:rPr>
              <w:t>100%</w:t>
            </w:r>
          </w:p>
        </w:tc>
      </w:tr>
      <w:tr w:rsidR="00F459A3" w:rsidRPr="00777073" w:rsidTr="00F459A3">
        <w:tc>
          <w:tcPr>
            <w:tcW w:w="807" w:type="dxa"/>
          </w:tcPr>
          <w:p w:rsidR="00F459A3" w:rsidRPr="00777073" w:rsidRDefault="00F459A3" w:rsidP="00777073">
            <w:pPr>
              <w:jc w:val="center"/>
              <w:rPr>
                <w:rFonts w:ascii="Times New Roman" w:hAnsi="Times New Roman" w:cs="Times New Roman"/>
                <w:sz w:val="24"/>
                <w:szCs w:val="24"/>
              </w:rPr>
            </w:pPr>
            <w:r>
              <w:rPr>
                <w:rFonts w:ascii="Times New Roman" w:hAnsi="Times New Roman" w:cs="Times New Roman"/>
                <w:sz w:val="24"/>
                <w:szCs w:val="24"/>
              </w:rPr>
              <w:t>Prob. 1</w:t>
            </w:r>
          </w:p>
        </w:tc>
        <w:tc>
          <w:tcPr>
            <w:tcW w:w="1191" w:type="dxa"/>
          </w:tcPr>
          <w:p w:rsidR="00F459A3" w:rsidRDefault="00F459A3" w:rsidP="00777073">
            <w:pPr>
              <w:jc w:val="center"/>
              <w:rPr>
                <w:rFonts w:ascii="Times New Roman" w:hAnsi="Times New Roman" w:cs="Times New Roman"/>
                <w:sz w:val="24"/>
                <w:szCs w:val="24"/>
              </w:rPr>
            </w:pPr>
            <w:r w:rsidRPr="00777073">
              <w:rPr>
                <w:rFonts w:ascii="Times New Roman" w:hAnsi="Times New Roman" w:cs="Times New Roman"/>
                <w:sz w:val="24"/>
                <w:szCs w:val="24"/>
              </w:rPr>
              <w:t>13.4%</w:t>
            </w:r>
          </w:p>
          <w:p w:rsidR="00F459A3" w:rsidRPr="00777073" w:rsidRDefault="00F459A3" w:rsidP="00777073">
            <w:pPr>
              <w:jc w:val="center"/>
              <w:rPr>
                <w:rFonts w:ascii="Times New Roman" w:hAnsi="Times New Roman" w:cs="Times New Roman"/>
                <w:sz w:val="24"/>
                <w:szCs w:val="24"/>
              </w:rPr>
            </w:pPr>
            <w:r>
              <w:rPr>
                <w:rFonts w:ascii="Times New Roman" w:hAnsi="Times New Roman" w:cs="Times New Roman"/>
                <w:sz w:val="24"/>
                <w:szCs w:val="24"/>
              </w:rPr>
              <w:t>140/1043</w:t>
            </w:r>
          </w:p>
        </w:tc>
        <w:tc>
          <w:tcPr>
            <w:tcW w:w="1080" w:type="dxa"/>
          </w:tcPr>
          <w:p w:rsidR="00F459A3" w:rsidRDefault="00F459A3" w:rsidP="00777073">
            <w:pPr>
              <w:jc w:val="center"/>
              <w:rPr>
                <w:rFonts w:ascii="Times New Roman" w:hAnsi="Times New Roman" w:cs="Times New Roman"/>
                <w:sz w:val="24"/>
                <w:szCs w:val="24"/>
              </w:rPr>
            </w:pPr>
            <w:r w:rsidRPr="00777073">
              <w:rPr>
                <w:rFonts w:ascii="Times New Roman" w:hAnsi="Times New Roman" w:cs="Times New Roman"/>
                <w:sz w:val="24"/>
                <w:szCs w:val="24"/>
              </w:rPr>
              <w:t>62.5%</w:t>
            </w:r>
          </w:p>
          <w:p w:rsidR="00F459A3" w:rsidRPr="00777073" w:rsidRDefault="00F459A3" w:rsidP="00777073">
            <w:pPr>
              <w:jc w:val="center"/>
              <w:rPr>
                <w:rFonts w:ascii="Times New Roman" w:hAnsi="Times New Roman" w:cs="Times New Roman"/>
                <w:sz w:val="24"/>
                <w:szCs w:val="24"/>
              </w:rPr>
            </w:pPr>
            <w:r>
              <w:rPr>
                <w:rFonts w:ascii="Times New Roman" w:hAnsi="Times New Roman" w:cs="Times New Roman"/>
                <w:sz w:val="24"/>
                <w:szCs w:val="24"/>
              </w:rPr>
              <w:t>140/224</w:t>
            </w:r>
          </w:p>
        </w:tc>
        <w:tc>
          <w:tcPr>
            <w:tcW w:w="1080" w:type="dxa"/>
          </w:tcPr>
          <w:p w:rsidR="00F459A3" w:rsidRDefault="00F459A3" w:rsidP="00777073">
            <w:pPr>
              <w:jc w:val="center"/>
              <w:rPr>
                <w:rFonts w:ascii="Times New Roman" w:hAnsi="Times New Roman" w:cs="Times New Roman"/>
                <w:sz w:val="24"/>
                <w:szCs w:val="24"/>
              </w:rPr>
            </w:pPr>
            <w:r w:rsidRPr="00777073">
              <w:rPr>
                <w:rFonts w:ascii="Times New Roman" w:hAnsi="Times New Roman" w:cs="Times New Roman"/>
                <w:sz w:val="24"/>
                <w:szCs w:val="24"/>
              </w:rPr>
              <w:t>9.1%</w:t>
            </w:r>
          </w:p>
          <w:p w:rsidR="00F459A3" w:rsidRPr="00777073" w:rsidRDefault="00F459A3" w:rsidP="00777073">
            <w:pPr>
              <w:jc w:val="center"/>
              <w:rPr>
                <w:rFonts w:ascii="Times New Roman" w:hAnsi="Times New Roman" w:cs="Times New Roman"/>
                <w:sz w:val="24"/>
                <w:szCs w:val="24"/>
              </w:rPr>
            </w:pPr>
            <w:r>
              <w:rPr>
                <w:rFonts w:ascii="Times New Roman" w:hAnsi="Times New Roman" w:cs="Times New Roman"/>
                <w:sz w:val="24"/>
                <w:szCs w:val="24"/>
              </w:rPr>
              <w:t>85/930</w:t>
            </w:r>
          </w:p>
        </w:tc>
        <w:tc>
          <w:tcPr>
            <w:tcW w:w="923" w:type="dxa"/>
          </w:tcPr>
          <w:p w:rsidR="00F459A3" w:rsidRDefault="00F459A3" w:rsidP="00777073">
            <w:pPr>
              <w:jc w:val="center"/>
              <w:rPr>
                <w:rFonts w:ascii="Times New Roman" w:hAnsi="Times New Roman" w:cs="Times New Roman"/>
                <w:sz w:val="24"/>
                <w:szCs w:val="24"/>
              </w:rPr>
            </w:pPr>
            <w:r w:rsidRPr="00777073">
              <w:rPr>
                <w:rFonts w:ascii="Times New Roman" w:hAnsi="Times New Roman" w:cs="Times New Roman"/>
                <w:sz w:val="24"/>
                <w:szCs w:val="24"/>
              </w:rPr>
              <w:t>38%</w:t>
            </w:r>
          </w:p>
          <w:p w:rsidR="00F459A3" w:rsidRPr="00777073" w:rsidRDefault="00F459A3" w:rsidP="00777073">
            <w:pPr>
              <w:jc w:val="center"/>
              <w:rPr>
                <w:rFonts w:ascii="Times New Roman" w:hAnsi="Times New Roman" w:cs="Times New Roman"/>
                <w:sz w:val="24"/>
                <w:szCs w:val="24"/>
              </w:rPr>
            </w:pPr>
            <w:r>
              <w:rPr>
                <w:rFonts w:ascii="Times New Roman" w:hAnsi="Times New Roman" w:cs="Times New Roman"/>
                <w:sz w:val="24"/>
                <w:szCs w:val="24"/>
              </w:rPr>
              <w:t>85/222</w:t>
            </w:r>
          </w:p>
        </w:tc>
        <w:tc>
          <w:tcPr>
            <w:tcW w:w="1237" w:type="dxa"/>
          </w:tcPr>
          <w:p w:rsidR="00F459A3" w:rsidRDefault="00F459A3" w:rsidP="00777073">
            <w:pPr>
              <w:jc w:val="center"/>
              <w:rPr>
                <w:rFonts w:ascii="Times New Roman" w:hAnsi="Times New Roman" w:cs="Times New Roman"/>
                <w:sz w:val="24"/>
                <w:szCs w:val="24"/>
              </w:rPr>
            </w:pPr>
            <w:r w:rsidRPr="00777073">
              <w:rPr>
                <w:rFonts w:ascii="Times New Roman" w:hAnsi="Times New Roman" w:cs="Times New Roman"/>
                <w:sz w:val="24"/>
                <w:szCs w:val="24"/>
              </w:rPr>
              <w:t>18.7%</w:t>
            </w:r>
          </w:p>
          <w:p w:rsidR="00F459A3" w:rsidRPr="00777073" w:rsidRDefault="00F459A3" w:rsidP="00777073">
            <w:pPr>
              <w:jc w:val="center"/>
              <w:rPr>
                <w:rFonts w:ascii="Times New Roman" w:hAnsi="Times New Roman" w:cs="Times New Roman"/>
                <w:sz w:val="24"/>
                <w:szCs w:val="24"/>
              </w:rPr>
            </w:pPr>
            <w:r>
              <w:rPr>
                <w:rFonts w:ascii="Times New Roman" w:hAnsi="Times New Roman" w:cs="Times New Roman"/>
                <w:sz w:val="24"/>
                <w:szCs w:val="24"/>
              </w:rPr>
              <w:t>193/1037</w:t>
            </w:r>
          </w:p>
        </w:tc>
        <w:tc>
          <w:tcPr>
            <w:tcW w:w="1069" w:type="dxa"/>
          </w:tcPr>
          <w:p w:rsidR="00F459A3" w:rsidRDefault="00F459A3" w:rsidP="00777073">
            <w:pPr>
              <w:jc w:val="center"/>
              <w:rPr>
                <w:rFonts w:ascii="Times New Roman" w:hAnsi="Times New Roman" w:cs="Times New Roman"/>
                <w:sz w:val="24"/>
                <w:szCs w:val="24"/>
              </w:rPr>
            </w:pPr>
            <w:r>
              <w:rPr>
                <w:rFonts w:ascii="Times New Roman" w:hAnsi="Times New Roman" w:cs="Times New Roman"/>
                <w:sz w:val="24"/>
                <w:szCs w:val="24"/>
              </w:rPr>
              <w:t>63.7</w:t>
            </w:r>
            <w:r w:rsidRPr="00777073">
              <w:rPr>
                <w:rFonts w:ascii="Times New Roman" w:hAnsi="Times New Roman" w:cs="Times New Roman"/>
                <w:sz w:val="24"/>
                <w:szCs w:val="24"/>
              </w:rPr>
              <w:t>%</w:t>
            </w:r>
          </w:p>
          <w:p w:rsidR="00F459A3" w:rsidRPr="00777073" w:rsidRDefault="00F459A3" w:rsidP="00777073">
            <w:pPr>
              <w:jc w:val="center"/>
              <w:rPr>
                <w:rFonts w:ascii="Times New Roman" w:hAnsi="Times New Roman" w:cs="Times New Roman"/>
                <w:sz w:val="24"/>
                <w:szCs w:val="24"/>
              </w:rPr>
            </w:pPr>
            <w:r>
              <w:rPr>
                <w:rFonts w:ascii="Times New Roman" w:hAnsi="Times New Roman" w:cs="Times New Roman"/>
                <w:sz w:val="24"/>
                <w:szCs w:val="24"/>
              </w:rPr>
              <w:t>193/303</w:t>
            </w:r>
          </w:p>
        </w:tc>
        <w:tc>
          <w:tcPr>
            <w:tcW w:w="1091" w:type="dxa"/>
          </w:tcPr>
          <w:p w:rsidR="00F459A3" w:rsidRDefault="00F459A3" w:rsidP="00777073">
            <w:pPr>
              <w:jc w:val="center"/>
              <w:rPr>
                <w:rFonts w:ascii="Times New Roman" w:hAnsi="Times New Roman" w:cs="Times New Roman"/>
                <w:sz w:val="24"/>
                <w:szCs w:val="24"/>
              </w:rPr>
            </w:pPr>
            <w:r w:rsidRPr="00777073">
              <w:rPr>
                <w:rFonts w:ascii="Times New Roman" w:hAnsi="Times New Roman" w:cs="Times New Roman"/>
                <w:sz w:val="24"/>
                <w:szCs w:val="24"/>
              </w:rPr>
              <w:t>10.3%</w:t>
            </w:r>
          </w:p>
          <w:p w:rsidR="00F459A3" w:rsidRPr="00777073" w:rsidRDefault="00F459A3" w:rsidP="00777073">
            <w:pPr>
              <w:jc w:val="center"/>
              <w:rPr>
                <w:rFonts w:ascii="Times New Roman" w:hAnsi="Times New Roman" w:cs="Times New Roman"/>
                <w:sz w:val="24"/>
                <w:szCs w:val="24"/>
              </w:rPr>
            </w:pPr>
            <w:r>
              <w:rPr>
                <w:rFonts w:ascii="Times New Roman" w:hAnsi="Times New Roman" w:cs="Times New Roman"/>
                <w:sz w:val="24"/>
                <w:szCs w:val="24"/>
              </w:rPr>
              <w:t>100/969</w:t>
            </w:r>
          </w:p>
        </w:tc>
        <w:tc>
          <w:tcPr>
            <w:tcW w:w="1098" w:type="dxa"/>
          </w:tcPr>
          <w:p w:rsidR="00F459A3" w:rsidRDefault="00F459A3" w:rsidP="00777073">
            <w:pPr>
              <w:jc w:val="center"/>
              <w:rPr>
                <w:rFonts w:ascii="Times New Roman" w:hAnsi="Times New Roman" w:cs="Times New Roman"/>
                <w:sz w:val="24"/>
                <w:szCs w:val="24"/>
              </w:rPr>
            </w:pPr>
            <w:r>
              <w:rPr>
                <w:rFonts w:ascii="Times New Roman" w:hAnsi="Times New Roman" w:cs="Times New Roman"/>
                <w:sz w:val="24"/>
                <w:szCs w:val="24"/>
              </w:rPr>
              <w:t>38.7%</w:t>
            </w:r>
          </w:p>
          <w:p w:rsidR="00F459A3" w:rsidRPr="00777073" w:rsidRDefault="00F459A3" w:rsidP="00777073">
            <w:pPr>
              <w:jc w:val="center"/>
              <w:rPr>
                <w:rFonts w:ascii="Times New Roman" w:hAnsi="Times New Roman" w:cs="Times New Roman"/>
                <w:sz w:val="24"/>
                <w:szCs w:val="24"/>
              </w:rPr>
            </w:pPr>
            <w:r>
              <w:rPr>
                <w:rFonts w:ascii="Times New Roman" w:hAnsi="Times New Roman" w:cs="Times New Roman"/>
                <w:sz w:val="24"/>
                <w:szCs w:val="24"/>
              </w:rPr>
              <w:t>100/258</w:t>
            </w:r>
          </w:p>
        </w:tc>
      </w:tr>
      <w:tr w:rsidR="00F459A3" w:rsidRPr="00777073" w:rsidTr="00F459A3">
        <w:tc>
          <w:tcPr>
            <w:tcW w:w="807" w:type="dxa"/>
          </w:tcPr>
          <w:p w:rsidR="00F459A3" w:rsidRPr="00777073" w:rsidRDefault="00F459A3" w:rsidP="00777073">
            <w:pPr>
              <w:jc w:val="center"/>
              <w:rPr>
                <w:rFonts w:ascii="Times New Roman" w:hAnsi="Times New Roman" w:cs="Times New Roman"/>
                <w:sz w:val="24"/>
                <w:szCs w:val="24"/>
              </w:rPr>
            </w:pPr>
            <w:r>
              <w:rPr>
                <w:rFonts w:ascii="Times New Roman" w:hAnsi="Times New Roman" w:cs="Times New Roman"/>
                <w:sz w:val="24"/>
                <w:szCs w:val="24"/>
              </w:rPr>
              <w:t>Prob. 2</w:t>
            </w:r>
          </w:p>
        </w:tc>
        <w:tc>
          <w:tcPr>
            <w:tcW w:w="1191" w:type="dxa"/>
          </w:tcPr>
          <w:p w:rsidR="00F459A3" w:rsidRDefault="00F459A3" w:rsidP="00777073">
            <w:pPr>
              <w:jc w:val="center"/>
              <w:rPr>
                <w:rFonts w:ascii="Times New Roman" w:hAnsi="Times New Roman" w:cs="Times New Roman"/>
                <w:sz w:val="24"/>
                <w:szCs w:val="24"/>
              </w:rPr>
            </w:pPr>
            <w:r>
              <w:rPr>
                <w:rFonts w:ascii="Times New Roman" w:hAnsi="Times New Roman" w:cs="Times New Roman"/>
                <w:sz w:val="24"/>
                <w:szCs w:val="24"/>
              </w:rPr>
              <w:t>3.6%</w:t>
            </w:r>
          </w:p>
          <w:p w:rsidR="00F459A3" w:rsidRPr="00777073" w:rsidRDefault="00F459A3" w:rsidP="00777073">
            <w:pPr>
              <w:jc w:val="center"/>
              <w:rPr>
                <w:rFonts w:ascii="Times New Roman" w:hAnsi="Times New Roman" w:cs="Times New Roman"/>
                <w:sz w:val="24"/>
                <w:szCs w:val="24"/>
              </w:rPr>
            </w:pPr>
            <w:r>
              <w:rPr>
                <w:rFonts w:ascii="Times New Roman" w:hAnsi="Times New Roman" w:cs="Times New Roman"/>
                <w:sz w:val="24"/>
                <w:szCs w:val="24"/>
              </w:rPr>
              <w:t>38/1043</w:t>
            </w:r>
          </w:p>
        </w:tc>
        <w:tc>
          <w:tcPr>
            <w:tcW w:w="1080" w:type="dxa"/>
          </w:tcPr>
          <w:p w:rsidR="00F459A3" w:rsidRDefault="00F459A3" w:rsidP="00777073">
            <w:pPr>
              <w:jc w:val="center"/>
              <w:rPr>
                <w:rFonts w:ascii="Times New Roman" w:hAnsi="Times New Roman" w:cs="Times New Roman"/>
                <w:sz w:val="24"/>
                <w:szCs w:val="24"/>
              </w:rPr>
            </w:pPr>
            <w:r>
              <w:rPr>
                <w:rFonts w:ascii="Times New Roman" w:hAnsi="Times New Roman" w:cs="Times New Roman"/>
                <w:sz w:val="24"/>
                <w:szCs w:val="24"/>
              </w:rPr>
              <w:t>16.9%</w:t>
            </w:r>
          </w:p>
          <w:p w:rsidR="00F459A3" w:rsidRPr="00777073" w:rsidRDefault="00F459A3" w:rsidP="00777073">
            <w:pPr>
              <w:jc w:val="center"/>
              <w:rPr>
                <w:rFonts w:ascii="Times New Roman" w:hAnsi="Times New Roman" w:cs="Times New Roman"/>
                <w:sz w:val="24"/>
                <w:szCs w:val="24"/>
              </w:rPr>
            </w:pPr>
            <w:r>
              <w:rPr>
                <w:rFonts w:ascii="Times New Roman" w:hAnsi="Times New Roman" w:cs="Times New Roman"/>
                <w:sz w:val="24"/>
                <w:szCs w:val="24"/>
              </w:rPr>
              <w:t>38/224</w:t>
            </w:r>
          </w:p>
        </w:tc>
        <w:tc>
          <w:tcPr>
            <w:tcW w:w="1080" w:type="dxa"/>
          </w:tcPr>
          <w:p w:rsidR="00F459A3" w:rsidRDefault="00F459A3" w:rsidP="00C35A9F">
            <w:pPr>
              <w:jc w:val="center"/>
              <w:rPr>
                <w:rFonts w:ascii="Times New Roman" w:hAnsi="Times New Roman" w:cs="Times New Roman"/>
                <w:sz w:val="24"/>
                <w:szCs w:val="24"/>
              </w:rPr>
            </w:pPr>
            <w:r>
              <w:rPr>
                <w:rFonts w:ascii="Times New Roman" w:hAnsi="Times New Roman" w:cs="Times New Roman"/>
                <w:sz w:val="24"/>
                <w:szCs w:val="24"/>
              </w:rPr>
              <w:t>6.1%</w:t>
            </w:r>
          </w:p>
          <w:p w:rsidR="00F459A3" w:rsidRPr="00777073" w:rsidRDefault="00F459A3" w:rsidP="00C35A9F">
            <w:pPr>
              <w:jc w:val="center"/>
              <w:rPr>
                <w:rFonts w:ascii="Times New Roman" w:hAnsi="Times New Roman" w:cs="Times New Roman"/>
                <w:sz w:val="24"/>
                <w:szCs w:val="24"/>
              </w:rPr>
            </w:pPr>
            <w:r>
              <w:rPr>
                <w:rFonts w:ascii="Times New Roman" w:hAnsi="Times New Roman" w:cs="Times New Roman"/>
                <w:sz w:val="24"/>
                <w:szCs w:val="24"/>
              </w:rPr>
              <w:t>57/930</w:t>
            </w:r>
          </w:p>
        </w:tc>
        <w:tc>
          <w:tcPr>
            <w:tcW w:w="923" w:type="dxa"/>
          </w:tcPr>
          <w:p w:rsidR="00F459A3" w:rsidRDefault="00F459A3" w:rsidP="00C35A9F">
            <w:pPr>
              <w:jc w:val="center"/>
              <w:rPr>
                <w:rFonts w:ascii="Times New Roman" w:hAnsi="Times New Roman" w:cs="Times New Roman"/>
                <w:sz w:val="24"/>
                <w:szCs w:val="24"/>
              </w:rPr>
            </w:pPr>
            <w:r>
              <w:rPr>
                <w:rFonts w:ascii="Times New Roman" w:hAnsi="Times New Roman" w:cs="Times New Roman"/>
                <w:sz w:val="24"/>
                <w:szCs w:val="24"/>
              </w:rPr>
              <w:t>26%</w:t>
            </w:r>
          </w:p>
          <w:p w:rsidR="00F459A3" w:rsidRPr="00777073" w:rsidRDefault="00F459A3" w:rsidP="00C35A9F">
            <w:pPr>
              <w:jc w:val="center"/>
              <w:rPr>
                <w:rFonts w:ascii="Times New Roman" w:hAnsi="Times New Roman" w:cs="Times New Roman"/>
                <w:sz w:val="24"/>
                <w:szCs w:val="24"/>
              </w:rPr>
            </w:pPr>
            <w:r>
              <w:rPr>
                <w:rFonts w:ascii="Times New Roman" w:hAnsi="Times New Roman" w:cs="Times New Roman"/>
                <w:sz w:val="24"/>
                <w:szCs w:val="24"/>
              </w:rPr>
              <w:t>57/222</w:t>
            </w:r>
          </w:p>
        </w:tc>
        <w:tc>
          <w:tcPr>
            <w:tcW w:w="1237" w:type="dxa"/>
          </w:tcPr>
          <w:p w:rsidR="00F459A3" w:rsidRDefault="00F459A3" w:rsidP="00777073">
            <w:pPr>
              <w:jc w:val="center"/>
              <w:rPr>
                <w:rFonts w:ascii="Times New Roman" w:hAnsi="Times New Roman" w:cs="Times New Roman"/>
                <w:sz w:val="24"/>
                <w:szCs w:val="24"/>
              </w:rPr>
            </w:pPr>
            <w:r>
              <w:rPr>
                <w:rFonts w:ascii="Times New Roman" w:hAnsi="Times New Roman" w:cs="Times New Roman"/>
                <w:sz w:val="24"/>
                <w:szCs w:val="24"/>
              </w:rPr>
              <w:t>3.6%</w:t>
            </w:r>
          </w:p>
          <w:p w:rsidR="00F459A3" w:rsidRPr="00777073" w:rsidRDefault="00F459A3" w:rsidP="00777073">
            <w:pPr>
              <w:jc w:val="center"/>
              <w:rPr>
                <w:rFonts w:ascii="Times New Roman" w:hAnsi="Times New Roman" w:cs="Times New Roman"/>
                <w:sz w:val="24"/>
                <w:szCs w:val="24"/>
              </w:rPr>
            </w:pPr>
            <w:r>
              <w:rPr>
                <w:rFonts w:ascii="Times New Roman" w:hAnsi="Times New Roman" w:cs="Times New Roman"/>
                <w:sz w:val="24"/>
                <w:szCs w:val="24"/>
              </w:rPr>
              <w:t>38/1037</w:t>
            </w:r>
          </w:p>
        </w:tc>
        <w:tc>
          <w:tcPr>
            <w:tcW w:w="1069" w:type="dxa"/>
          </w:tcPr>
          <w:p w:rsidR="00F459A3" w:rsidRDefault="00F459A3" w:rsidP="00777073">
            <w:pPr>
              <w:jc w:val="center"/>
              <w:rPr>
                <w:rFonts w:ascii="Times New Roman" w:hAnsi="Times New Roman" w:cs="Times New Roman"/>
                <w:sz w:val="24"/>
                <w:szCs w:val="24"/>
              </w:rPr>
            </w:pPr>
            <w:r>
              <w:rPr>
                <w:rFonts w:ascii="Times New Roman" w:hAnsi="Times New Roman" w:cs="Times New Roman"/>
                <w:sz w:val="24"/>
                <w:szCs w:val="24"/>
              </w:rPr>
              <w:t>12%</w:t>
            </w:r>
          </w:p>
          <w:p w:rsidR="00F459A3" w:rsidRPr="00777073" w:rsidRDefault="00F459A3" w:rsidP="00777073">
            <w:pPr>
              <w:jc w:val="center"/>
              <w:rPr>
                <w:rFonts w:ascii="Times New Roman" w:hAnsi="Times New Roman" w:cs="Times New Roman"/>
                <w:sz w:val="24"/>
                <w:szCs w:val="24"/>
              </w:rPr>
            </w:pPr>
            <w:r>
              <w:rPr>
                <w:rFonts w:ascii="Times New Roman" w:hAnsi="Times New Roman" w:cs="Times New Roman"/>
                <w:sz w:val="24"/>
                <w:szCs w:val="24"/>
              </w:rPr>
              <w:t>38/303</w:t>
            </w:r>
          </w:p>
        </w:tc>
        <w:tc>
          <w:tcPr>
            <w:tcW w:w="1091" w:type="dxa"/>
          </w:tcPr>
          <w:p w:rsidR="00F459A3" w:rsidRDefault="00F459A3" w:rsidP="00777073">
            <w:pPr>
              <w:jc w:val="center"/>
              <w:rPr>
                <w:rFonts w:ascii="Times New Roman" w:hAnsi="Times New Roman" w:cs="Times New Roman"/>
                <w:sz w:val="24"/>
                <w:szCs w:val="24"/>
              </w:rPr>
            </w:pPr>
            <w:r>
              <w:rPr>
                <w:rFonts w:ascii="Times New Roman" w:hAnsi="Times New Roman" w:cs="Times New Roman"/>
                <w:sz w:val="24"/>
                <w:szCs w:val="24"/>
              </w:rPr>
              <w:t>9.1%</w:t>
            </w:r>
          </w:p>
          <w:p w:rsidR="00F459A3" w:rsidRPr="00777073" w:rsidRDefault="00F459A3" w:rsidP="00777073">
            <w:pPr>
              <w:jc w:val="center"/>
              <w:rPr>
                <w:rFonts w:ascii="Times New Roman" w:hAnsi="Times New Roman" w:cs="Times New Roman"/>
                <w:sz w:val="24"/>
                <w:szCs w:val="24"/>
              </w:rPr>
            </w:pPr>
            <w:r>
              <w:rPr>
                <w:rFonts w:ascii="Times New Roman" w:hAnsi="Times New Roman" w:cs="Times New Roman"/>
                <w:sz w:val="24"/>
                <w:szCs w:val="24"/>
              </w:rPr>
              <w:t>88/969</w:t>
            </w:r>
          </w:p>
        </w:tc>
        <w:tc>
          <w:tcPr>
            <w:tcW w:w="1098" w:type="dxa"/>
          </w:tcPr>
          <w:p w:rsidR="00F459A3" w:rsidRDefault="00F459A3" w:rsidP="00777073">
            <w:pPr>
              <w:jc w:val="center"/>
              <w:rPr>
                <w:rFonts w:ascii="Times New Roman" w:hAnsi="Times New Roman" w:cs="Times New Roman"/>
                <w:sz w:val="24"/>
                <w:szCs w:val="24"/>
              </w:rPr>
            </w:pPr>
            <w:r>
              <w:rPr>
                <w:rFonts w:ascii="Times New Roman" w:hAnsi="Times New Roman" w:cs="Times New Roman"/>
                <w:sz w:val="24"/>
                <w:szCs w:val="24"/>
              </w:rPr>
              <w:t>34%</w:t>
            </w:r>
          </w:p>
          <w:p w:rsidR="00F459A3" w:rsidRPr="00777073" w:rsidRDefault="00F459A3" w:rsidP="00777073">
            <w:pPr>
              <w:jc w:val="center"/>
              <w:rPr>
                <w:rFonts w:ascii="Times New Roman" w:hAnsi="Times New Roman" w:cs="Times New Roman"/>
                <w:sz w:val="24"/>
                <w:szCs w:val="24"/>
              </w:rPr>
            </w:pPr>
            <w:r>
              <w:rPr>
                <w:rFonts w:ascii="Times New Roman" w:hAnsi="Times New Roman" w:cs="Times New Roman"/>
                <w:sz w:val="24"/>
                <w:szCs w:val="24"/>
              </w:rPr>
              <w:t>88/258</w:t>
            </w:r>
          </w:p>
        </w:tc>
      </w:tr>
    </w:tbl>
    <w:p w:rsidR="00904AE3" w:rsidRPr="00777073" w:rsidRDefault="00904AE3" w:rsidP="0095736E">
      <w:pPr>
        <w:rPr>
          <w:rFonts w:ascii="Times New Roman" w:hAnsi="Times New Roman" w:cs="Times New Roman"/>
          <w:b/>
          <w:sz w:val="24"/>
          <w:szCs w:val="24"/>
          <w:u w:val="single"/>
        </w:rPr>
      </w:pPr>
    </w:p>
    <w:p w:rsidR="004D744D" w:rsidRPr="00777073" w:rsidRDefault="00B2109F" w:rsidP="004D744D">
      <w:pPr>
        <w:rPr>
          <w:rFonts w:ascii="Times New Roman" w:hAnsi="Times New Roman" w:cs="Times New Roman"/>
          <w:sz w:val="24"/>
          <w:szCs w:val="24"/>
        </w:rPr>
      </w:pPr>
      <w:r w:rsidRPr="00777073">
        <w:rPr>
          <w:rFonts w:ascii="Times New Roman" w:hAnsi="Times New Roman" w:cs="Times New Roman"/>
          <w:sz w:val="24"/>
          <w:szCs w:val="24"/>
        </w:rPr>
        <w:t xml:space="preserve">Of the </w:t>
      </w:r>
      <w:r w:rsidR="004D744D" w:rsidRPr="00777073">
        <w:rPr>
          <w:rFonts w:ascii="Times New Roman" w:hAnsi="Times New Roman" w:cs="Times New Roman"/>
          <w:sz w:val="24"/>
          <w:szCs w:val="24"/>
        </w:rPr>
        <w:t>1037</w:t>
      </w:r>
      <w:r w:rsidRPr="00777073">
        <w:rPr>
          <w:rFonts w:ascii="Times New Roman" w:hAnsi="Times New Roman" w:cs="Times New Roman"/>
          <w:sz w:val="24"/>
          <w:szCs w:val="24"/>
        </w:rPr>
        <w:t xml:space="preserve"> students enrolled </w:t>
      </w:r>
      <w:r w:rsidR="004D744D" w:rsidRPr="00777073">
        <w:rPr>
          <w:rFonts w:ascii="Times New Roman" w:hAnsi="Times New Roman" w:cs="Times New Roman"/>
          <w:sz w:val="24"/>
          <w:szCs w:val="24"/>
        </w:rPr>
        <w:t>in the College of Arts &amp; Sciences for the F</w:t>
      </w:r>
      <w:r w:rsidRPr="00777073">
        <w:rPr>
          <w:rFonts w:ascii="Times New Roman" w:hAnsi="Times New Roman" w:cs="Times New Roman"/>
          <w:sz w:val="24"/>
          <w:szCs w:val="24"/>
        </w:rPr>
        <w:t>all 2012 semester</w:t>
      </w:r>
      <w:r w:rsidR="001D73A2" w:rsidRPr="00777073">
        <w:rPr>
          <w:rFonts w:ascii="Times New Roman" w:hAnsi="Times New Roman" w:cs="Times New Roman"/>
          <w:sz w:val="24"/>
          <w:szCs w:val="24"/>
        </w:rPr>
        <w:t>, a total of 303 students were placed on Academic Watch, Probation 1, or Probation 2, representing 29% of the total CAS enrolled student body</w:t>
      </w:r>
      <w:r w:rsidR="00DB52F0" w:rsidRPr="00777073">
        <w:rPr>
          <w:rFonts w:ascii="Times New Roman" w:hAnsi="Times New Roman" w:cs="Times New Roman"/>
          <w:sz w:val="24"/>
          <w:szCs w:val="24"/>
        </w:rPr>
        <w:t>.  (</w:t>
      </w:r>
      <w:r w:rsidR="00E43144">
        <w:rPr>
          <w:rFonts w:ascii="Times New Roman" w:hAnsi="Times New Roman" w:cs="Times New Roman"/>
          <w:sz w:val="24"/>
          <w:szCs w:val="24"/>
        </w:rPr>
        <w:t>Ten</w:t>
      </w:r>
      <w:r w:rsidR="00F459A3">
        <w:rPr>
          <w:rFonts w:ascii="Times New Roman" w:hAnsi="Times New Roman" w:cs="Times New Roman"/>
          <w:sz w:val="24"/>
          <w:szCs w:val="24"/>
        </w:rPr>
        <w:t xml:space="preserve"> students were dismissed).</w:t>
      </w:r>
      <w:r w:rsidR="00E43144">
        <w:rPr>
          <w:rFonts w:ascii="Times New Roman" w:hAnsi="Times New Roman" w:cs="Times New Roman"/>
          <w:sz w:val="24"/>
          <w:szCs w:val="24"/>
        </w:rPr>
        <w:t xml:space="preserve">  This represented an increase in total student probations from the previous Fall, when 21.4% of students were not in good academic standing.  In Fall 2012, s</w:t>
      </w:r>
      <w:r w:rsidR="001D73A2" w:rsidRPr="00777073">
        <w:rPr>
          <w:rFonts w:ascii="Times New Roman" w:hAnsi="Times New Roman" w:cs="Times New Roman"/>
          <w:sz w:val="24"/>
          <w:szCs w:val="24"/>
        </w:rPr>
        <w:t xml:space="preserve">tudents on academic watch represented </w:t>
      </w:r>
      <w:r w:rsidR="004D744D" w:rsidRPr="00E43144">
        <w:rPr>
          <w:rFonts w:ascii="Times New Roman" w:hAnsi="Times New Roman" w:cs="Times New Roman"/>
          <w:sz w:val="24"/>
          <w:szCs w:val="24"/>
        </w:rPr>
        <w:t>22</w:t>
      </w:r>
      <w:r w:rsidR="001D73A2" w:rsidRPr="00E43144">
        <w:rPr>
          <w:rFonts w:ascii="Times New Roman" w:hAnsi="Times New Roman" w:cs="Times New Roman"/>
          <w:sz w:val="24"/>
          <w:szCs w:val="24"/>
        </w:rPr>
        <w:t>.7</w:t>
      </w:r>
      <w:r w:rsidR="004D744D" w:rsidRPr="00E43144">
        <w:rPr>
          <w:rFonts w:ascii="Times New Roman" w:hAnsi="Times New Roman" w:cs="Times New Roman"/>
          <w:sz w:val="24"/>
          <w:szCs w:val="24"/>
        </w:rPr>
        <w:t>%</w:t>
      </w:r>
      <w:r w:rsidR="004D744D" w:rsidRPr="00777073">
        <w:rPr>
          <w:rFonts w:ascii="Times New Roman" w:hAnsi="Times New Roman" w:cs="Times New Roman"/>
          <w:sz w:val="24"/>
          <w:szCs w:val="24"/>
        </w:rPr>
        <w:t xml:space="preserve"> of all</w:t>
      </w:r>
      <w:r w:rsidR="001D73A2" w:rsidRPr="00777073">
        <w:rPr>
          <w:rFonts w:ascii="Times New Roman" w:hAnsi="Times New Roman" w:cs="Times New Roman"/>
          <w:sz w:val="24"/>
          <w:szCs w:val="24"/>
        </w:rPr>
        <w:t xml:space="preserve"> students on probation, or 69/30</w:t>
      </w:r>
      <w:r w:rsidR="004D744D" w:rsidRPr="00777073">
        <w:rPr>
          <w:rFonts w:ascii="Times New Roman" w:hAnsi="Times New Roman" w:cs="Times New Roman"/>
          <w:sz w:val="24"/>
          <w:szCs w:val="24"/>
        </w:rPr>
        <w:t>3 students</w:t>
      </w:r>
      <w:r w:rsidR="00E43144">
        <w:rPr>
          <w:rFonts w:ascii="Times New Roman" w:hAnsi="Times New Roman" w:cs="Times New Roman"/>
          <w:sz w:val="24"/>
          <w:szCs w:val="24"/>
        </w:rPr>
        <w:t xml:space="preserve"> (not pictured on above chart)</w:t>
      </w:r>
      <w:r w:rsidR="004D744D" w:rsidRPr="00777073">
        <w:rPr>
          <w:rFonts w:ascii="Times New Roman" w:hAnsi="Times New Roman" w:cs="Times New Roman"/>
          <w:sz w:val="24"/>
          <w:szCs w:val="24"/>
        </w:rPr>
        <w:t xml:space="preserve">.  Students maintaining a cumulative GPA of 2.0 or better, although their term </w:t>
      </w:r>
      <w:r w:rsidR="001D73A2" w:rsidRPr="00777073">
        <w:rPr>
          <w:rFonts w:ascii="Times New Roman" w:hAnsi="Times New Roman" w:cs="Times New Roman"/>
          <w:sz w:val="24"/>
          <w:szCs w:val="24"/>
        </w:rPr>
        <w:t xml:space="preserve">GPA dipped below </w:t>
      </w:r>
      <w:r w:rsidR="001877D7" w:rsidRPr="00777073">
        <w:rPr>
          <w:rFonts w:ascii="Times New Roman" w:hAnsi="Times New Roman" w:cs="Times New Roman"/>
          <w:sz w:val="24"/>
          <w:szCs w:val="24"/>
        </w:rPr>
        <w:t xml:space="preserve">2.0, </w:t>
      </w:r>
      <w:r w:rsidR="004D744D" w:rsidRPr="00777073">
        <w:rPr>
          <w:rFonts w:ascii="Times New Roman" w:hAnsi="Times New Roman" w:cs="Times New Roman"/>
          <w:sz w:val="24"/>
          <w:szCs w:val="24"/>
        </w:rPr>
        <w:t>represent</w:t>
      </w:r>
      <w:r w:rsidR="001877D7" w:rsidRPr="00777073">
        <w:rPr>
          <w:rFonts w:ascii="Times New Roman" w:hAnsi="Times New Roman" w:cs="Times New Roman"/>
          <w:sz w:val="24"/>
          <w:szCs w:val="24"/>
        </w:rPr>
        <w:t>ed</w:t>
      </w:r>
      <w:r w:rsidR="004D744D" w:rsidRPr="00777073">
        <w:rPr>
          <w:rFonts w:ascii="Times New Roman" w:hAnsi="Times New Roman" w:cs="Times New Roman"/>
          <w:sz w:val="24"/>
          <w:szCs w:val="24"/>
        </w:rPr>
        <w:t xml:space="preserve"> a larger proportion of probation students than in prior years.</w:t>
      </w:r>
      <w:r w:rsidR="00A33DBD" w:rsidRPr="00777073">
        <w:rPr>
          <w:rFonts w:ascii="Times New Roman" w:hAnsi="Times New Roman" w:cs="Times New Roman"/>
          <w:sz w:val="24"/>
          <w:szCs w:val="24"/>
        </w:rPr>
        <w:t xml:space="preserve">  This is good news, as w</w:t>
      </w:r>
      <w:r w:rsidR="001D73A2" w:rsidRPr="00777073">
        <w:rPr>
          <w:rFonts w:ascii="Times New Roman" w:hAnsi="Times New Roman" w:cs="Times New Roman"/>
          <w:sz w:val="24"/>
          <w:szCs w:val="24"/>
        </w:rPr>
        <w:t xml:space="preserve">atch is the least challenging academic standing designation to remediate. </w:t>
      </w:r>
      <w:r w:rsidR="004D744D" w:rsidRPr="00777073">
        <w:rPr>
          <w:rFonts w:ascii="Times New Roman" w:hAnsi="Times New Roman" w:cs="Times New Roman"/>
          <w:sz w:val="24"/>
          <w:szCs w:val="24"/>
        </w:rPr>
        <w:t xml:space="preserve">  </w:t>
      </w:r>
    </w:p>
    <w:p w:rsidR="00E43144" w:rsidRDefault="004D744D" w:rsidP="004D744D">
      <w:pPr>
        <w:rPr>
          <w:rFonts w:ascii="Times New Roman" w:hAnsi="Times New Roman" w:cs="Times New Roman"/>
          <w:sz w:val="24"/>
          <w:szCs w:val="24"/>
        </w:rPr>
      </w:pPr>
      <w:r w:rsidRPr="00777073">
        <w:rPr>
          <w:rFonts w:ascii="Times New Roman" w:hAnsi="Times New Roman" w:cs="Times New Roman"/>
          <w:sz w:val="24"/>
          <w:szCs w:val="24"/>
        </w:rPr>
        <w:lastRenderedPageBreak/>
        <w:t>Fi</w:t>
      </w:r>
      <w:r w:rsidR="00E43144">
        <w:rPr>
          <w:rFonts w:ascii="Times New Roman" w:hAnsi="Times New Roman" w:cs="Times New Roman"/>
          <w:sz w:val="24"/>
          <w:szCs w:val="24"/>
        </w:rPr>
        <w:t xml:space="preserve">rst probations shifted </w:t>
      </w:r>
      <w:r w:rsidRPr="00777073">
        <w:rPr>
          <w:rFonts w:ascii="Times New Roman" w:hAnsi="Times New Roman" w:cs="Times New Roman"/>
          <w:sz w:val="24"/>
          <w:szCs w:val="24"/>
        </w:rPr>
        <w:t>upward, as the percentage of students on first probation increased from 13.4% of the total student body in Fall 2011 to</w:t>
      </w:r>
      <w:r w:rsidR="00253927" w:rsidRPr="00777073">
        <w:rPr>
          <w:rFonts w:ascii="Times New Roman" w:hAnsi="Times New Roman" w:cs="Times New Roman"/>
          <w:sz w:val="24"/>
          <w:szCs w:val="24"/>
        </w:rPr>
        <w:t xml:space="preserve"> 18.7% in Fall 2012.  T</w:t>
      </w:r>
      <w:r w:rsidRPr="00777073">
        <w:rPr>
          <w:rFonts w:ascii="Times New Roman" w:hAnsi="Times New Roman" w:cs="Times New Roman"/>
          <w:sz w:val="24"/>
          <w:szCs w:val="24"/>
        </w:rPr>
        <w:t>he decrease in second probations (predicted by the decrease in first probations last Spring) continued; second probations remained flat across the total student body (3.6% of student body in Fall 2011 and 3.6% again in Fall 2012) and decreased in terms of the overall percentage of students on probation (from 16.9% of all probations in Fall 2011 to 12% in Fall 2012). Fewer first probations last Spring translated i</w:t>
      </w:r>
      <w:r w:rsidR="001877D7" w:rsidRPr="00777073">
        <w:rPr>
          <w:rFonts w:ascii="Times New Roman" w:hAnsi="Times New Roman" w:cs="Times New Roman"/>
          <w:sz w:val="24"/>
          <w:szCs w:val="24"/>
        </w:rPr>
        <w:t>nto fewer second probations in the</w:t>
      </w:r>
      <w:r w:rsidRPr="00777073">
        <w:rPr>
          <w:rFonts w:ascii="Times New Roman" w:hAnsi="Times New Roman" w:cs="Times New Roman"/>
          <w:sz w:val="24"/>
          <w:szCs w:val="24"/>
        </w:rPr>
        <w:t xml:space="preserve"> Fall.</w:t>
      </w:r>
      <w:r w:rsidR="00455038" w:rsidRPr="00777073">
        <w:rPr>
          <w:rFonts w:ascii="Times New Roman" w:hAnsi="Times New Roman" w:cs="Times New Roman"/>
          <w:sz w:val="24"/>
          <w:szCs w:val="24"/>
        </w:rPr>
        <w:t xml:space="preserve">  We </w:t>
      </w:r>
      <w:r w:rsidR="00E43144">
        <w:rPr>
          <w:rFonts w:ascii="Times New Roman" w:hAnsi="Times New Roman" w:cs="Times New Roman"/>
          <w:sz w:val="24"/>
          <w:szCs w:val="24"/>
        </w:rPr>
        <w:t>further note that in Spring 2012</w:t>
      </w:r>
      <w:r w:rsidR="00455038" w:rsidRPr="00777073">
        <w:rPr>
          <w:rFonts w:ascii="Times New Roman" w:hAnsi="Times New Roman" w:cs="Times New Roman"/>
          <w:sz w:val="24"/>
          <w:szCs w:val="24"/>
        </w:rPr>
        <w:t xml:space="preserve">, 23 students (2.4% of the student body) were dismissed; just 10 students were dismissed in Fall 2012 (roughly 1% of the student body).  Additionally, in Fall 2012, 130 students made the Dean’s list, or 12.5% of the student body.  </w:t>
      </w:r>
    </w:p>
    <w:p w:rsidR="004C7D84" w:rsidRPr="00777073" w:rsidRDefault="004C7D84" w:rsidP="004C7D84">
      <w:pPr>
        <w:rPr>
          <w:rFonts w:ascii="Times New Roman" w:hAnsi="Times New Roman" w:cs="Times New Roman"/>
          <w:color w:val="000000" w:themeColor="text1"/>
          <w:sz w:val="24"/>
          <w:szCs w:val="24"/>
        </w:rPr>
      </w:pPr>
      <w:r w:rsidRPr="00777073">
        <w:rPr>
          <w:rFonts w:ascii="Times New Roman" w:hAnsi="Times New Roman" w:cs="Times New Roman"/>
          <w:color w:val="000000" w:themeColor="text1"/>
          <w:sz w:val="24"/>
          <w:szCs w:val="24"/>
        </w:rPr>
        <w:t xml:space="preserve">In Spring 2013, 100% of these </w:t>
      </w:r>
      <w:r w:rsidR="00E43144">
        <w:rPr>
          <w:rFonts w:ascii="Times New Roman" w:hAnsi="Times New Roman" w:cs="Times New Roman"/>
          <w:color w:val="000000" w:themeColor="text1"/>
          <w:sz w:val="24"/>
          <w:szCs w:val="24"/>
        </w:rPr>
        <w:t xml:space="preserve">students placed on probation </w:t>
      </w:r>
      <w:r w:rsidRPr="00777073">
        <w:rPr>
          <w:rFonts w:ascii="Times New Roman" w:hAnsi="Times New Roman" w:cs="Times New Roman"/>
          <w:color w:val="000000" w:themeColor="text1"/>
          <w:sz w:val="24"/>
          <w:szCs w:val="24"/>
        </w:rPr>
        <w:t>received a communication detailing the steps they should take to remediate their status.  Our records indicate that in Fall 2012, 43% of students placed on probation the prior year (Spring 2012) met with advi</w:t>
      </w:r>
      <w:r w:rsidR="00E43144">
        <w:rPr>
          <w:rFonts w:ascii="Times New Roman" w:hAnsi="Times New Roman" w:cs="Times New Roman"/>
          <w:color w:val="000000" w:themeColor="text1"/>
          <w:sz w:val="24"/>
          <w:szCs w:val="24"/>
        </w:rPr>
        <w:t>sing, academic support, or both, and this tracking continued in Spring 2013.</w:t>
      </w:r>
      <w:r w:rsidRPr="00777073">
        <w:rPr>
          <w:rFonts w:ascii="Times New Roman" w:hAnsi="Times New Roman" w:cs="Times New Roman"/>
          <w:color w:val="000000" w:themeColor="text1"/>
          <w:sz w:val="24"/>
          <w:szCs w:val="24"/>
        </w:rPr>
        <w:t xml:space="preserve">  </w:t>
      </w:r>
    </w:p>
    <w:p w:rsidR="00904AE3" w:rsidRPr="00777073" w:rsidRDefault="00904AE3" w:rsidP="00904AE3">
      <w:pPr>
        <w:rPr>
          <w:rFonts w:ascii="Times New Roman" w:hAnsi="Times New Roman" w:cs="Times New Roman"/>
          <w:sz w:val="24"/>
          <w:szCs w:val="24"/>
        </w:rPr>
      </w:pPr>
      <w:r w:rsidRPr="00777073">
        <w:rPr>
          <w:rFonts w:ascii="Times New Roman" w:hAnsi="Times New Roman" w:cs="Times New Roman"/>
          <w:sz w:val="24"/>
          <w:szCs w:val="24"/>
        </w:rPr>
        <w:t xml:space="preserve">In Spring 2013, a total of 258 students were placed on Academic Watch, Probation 1, or Probation 2, representing 26.6% of the total CAS enrolled student body (up from 222/23.8% in Spring 2012).  Twenty-four students were dismissed for academic reasons – 2.47% of the student body (as compared to twenty-three students in Spring 2012, also 2.47% of the student body.)  Dismissals for academic reasons therefore remained statistically flat from Spring to Spring.  </w:t>
      </w:r>
    </w:p>
    <w:p w:rsidR="00904AE3" w:rsidRPr="00777073" w:rsidRDefault="00904AE3" w:rsidP="00904AE3">
      <w:pPr>
        <w:rPr>
          <w:rFonts w:ascii="Times New Roman" w:hAnsi="Times New Roman" w:cs="Times New Roman"/>
          <w:sz w:val="24"/>
          <w:szCs w:val="24"/>
        </w:rPr>
      </w:pPr>
      <w:r w:rsidRPr="00777073">
        <w:rPr>
          <w:rFonts w:ascii="Times New Roman" w:hAnsi="Times New Roman" w:cs="Times New Roman"/>
          <w:sz w:val="24"/>
          <w:szCs w:val="24"/>
        </w:rPr>
        <w:t>While the number of students on academic watch is not represented on th</w:t>
      </w:r>
      <w:r w:rsidR="004F552F">
        <w:rPr>
          <w:rFonts w:ascii="Times New Roman" w:hAnsi="Times New Roman" w:cs="Times New Roman"/>
          <w:sz w:val="24"/>
          <w:szCs w:val="24"/>
        </w:rPr>
        <w:t xml:space="preserve">e above chart, </w:t>
      </w:r>
      <w:r w:rsidRPr="00777073">
        <w:rPr>
          <w:rFonts w:ascii="Times New Roman" w:hAnsi="Times New Roman" w:cs="Times New Roman"/>
          <w:sz w:val="24"/>
          <w:szCs w:val="24"/>
        </w:rPr>
        <w:t>a significant portion of these students – 26.7% of all students on probation, or 69/258 students – were placed on academic watch (in Spring 2012, 26% of students with a standing decision were likewise on academic watch).  First probations showed a slight upward trend but remained flat as a percentage of all probations (roughly 38% from Spring to Spring).  The percentage of students on first probation increased from 9.1%  of the total student body in Spring 2012 to 10.3% in Spring 2013.  This suggests that although our student body is growing larger, we are maintaining roughly the same level of first probations.</w:t>
      </w:r>
    </w:p>
    <w:p w:rsidR="00904AE3" w:rsidRPr="00777073" w:rsidRDefault="00904AE3" w:rsidP="00904AE3">
      <w:pPr>
        <w:rPr>
          <w:rFonts w:ascii="Times New Roman" w:hAnsi="Times New Roman" w:cs="Times New Roman"/>
          <w:b/>
          <w:sz w:val="24"/>
          <w:szCs w:val="24"/>
        </w:rPr>
      </w:pPr>
      <w:r w:rsidRPr="00777073">
        <w:rPr>
          <w:rFonts w:ascii="Times New Roman" w:hAnsi="Times New Roman" w:cs="Times New Roman"/>
          <w:sz w:val="24"/>
          <w:szCs w:val="24"/>
        </w:rPr>
        <w:t xml:space="preserve">Second probations continue to be a concern; the number of students placed on second probation increased to 9.1% of the total student body in Spring 2013, up from 6.1% in Spring 2012 (and increasing from 26% of all probations to 34.1% of all probations).  </w:t>
      </w:r>
      <w:r w:rsidRPr="00777073">
        <w:rPr>
          <w:rFonts w:ascii="Times New Roman" w:hAnsi="Times New Roman" w:cs="Times New Roman"/>
          <w:b/>
          <w:sz w:val="24"/>
          <w:szCs w:val="24"/>
        </w:rPr>
        <w:t>Academic services and advising must continue to outreach to second probation students, who historically have been the hardest to reach and to remediate.</w:t>
      </w:r>
    </w:p>
    <w:p w:rsidR="00904AE3" w:rsidRPr="00777073" w:rsidRDefault="00904AE3" w:rsidP="00904AE3">
      <w:pPr>
        <w:rPr>
          <w:rFonts w:ascii="Times New Roman" w:hAnsi="Times New Roman" w:cs="Times New Roman"/>
          <w:sz w:val="24"/>
          <w:szCs w:val="24"/>
        </w:rPr>
      </w:pPr>
      <w:r w:rsidRPr="00777073">
        <w:rPr>
          <w:rFonts w:ascii="Times New Roman" w:hAnsi="Times New Roman" w:cs="Times New Roman"/>
          <w:sz w:val="24"/>
          <w:szCs w:val="24"/>
        </w:rPr>
        <w:t>We are encouraged that academic watch, probation and dismissal rates are remaining fairly constant from Spring to Spring, although our student body continues to increase.  We clearly see the need for more intervention with second probation students.  This report also indicates the need to continue working closely with academic services to develop more data-informed, targeted programs to assist academically vulnerable Trinity students.</w:t>
      </w:r>
    </w:p>
    <w:p w:rsidR="00B83BCF" w:rsidRPr="00777073" w:rsidRDefault="00B83BCF" w:rsidP="00B83BCF">
      <w:pPr>
        <w:rPr>
          <w:rFonts w:ascii="Times New Roman" w:hAnsi="Times New Roman" w:cs="Times New Roman"/>
          <w:b/>
          <w:sz w:val="24"/>
          <w:szCs w:val="24"/>
          <w:u w:val="single"/>
        </w:rPr>
      </w:pPr>
      <w:r w:rsidRPr="00777073">
        <w:rPr>
          <w:rFonts w:ascii="Times New Roman" w:hAnsi="Times New Roman" w:cs="Times New Roman"/>
          <w:b/>
          <w:sz w:val="24"/>
          <w:szCs w:val="24"/>
          <w:u w:val="single"/>
        </w:rPr>
        <w:lastRenderedPageBreak/>
        <w:t>Early Alert Analysis</w:t>
      </w:r>
    </w:p>
    <w:p w:rsidR="00904AE3" w:rsidRPr="00777073" w:rsidRDefault="00904AE3" w:rsidP="00904AE3">
      <w:pPr>
        <w:rPr>
          <w:rFonts w:ascii="Times New Roman" w:hAnsi="Times New Roman" w:cs="Times New Roman"/>
          <w:sz w:val="24"/>
          <w:szCs w:val="24"/>
        </w:rPr>
      </w:pPr>
      <w:r w:rsidRPr="00777073">
        <w:rPr>
          <w:rFonts w:ascii="Times New Roman" w:hAnsi="Times New Roman" w:cs="Times New Roman"/>
          <w:sz w:val="24"/>
          <w:szCs w:val="24"/>
        </w:rPr>
        <w:t xml:space="preserve">The Early Alert system is an intervention designed to </w:t>
      </w:r>
      <w:r w:rsidR="005E3325">
        <w:rPr>
          <w:rFonts w:ascii="Times New Roman" w:hAnsi="Times New Roman" w:cs="Times New Roman"/>
          <w:sz w:val="24"/>
          <w:szCs w:val="24"/>
        </w:rPr>
        <w:t>identify</w:t>
      </w:r>
      <w:r w:rsidRPr="00777073">
        <w:rPr>
          <w:rFonts w:ascii="Times New Roman" w:hAnsi="Times New Roman" w:cs="Times New Roman"/>
          <w:sz w:val="24"/>
          <w:szCs w:val="24"/>
        </w:rPr>
        <w:t xml:space="preserve"> students who are in danger of failing a course (or courses) </w:t>
      </w:r>
      <w:r w:rsidR="005E3325">
        <w:rPr>
          <w:rFonts w:ascii="Times New Roman" w:hAnsi="Times New Roman" w:cs="Times New Roman"/>
          <w:sz w:val="24"/>
          <w:szCs w:val="24"/>
        </w:rPr>
        <w:t>for</w:t>
      </w:r>
      <w:r w:rsidRPr="00777073">
        <w:rPr>
          <w:rFonts w:ascii="Times New Roman" w:hAnsi="Times New Roman" w:cs="Times New Roman"/>
          <w:sz w:val="24"/>
          <w:szCs w:val="24"/>
        </w:rPr>
        <w:t xml:space="preserve"> a variety of reasons which include, but are not limited to, excessive absences, poor test/quiz performance, and missing homework or other assignments.  Early Alerts allow faculty, advisors, and other academic support personnel to intervene prior to the semester midterm with strategies that are in the best interest of the at-risk student.  When employed appropriately, the goal of Early Alerts is to ultimately support retention by accomplishing the following:</w:t>
      </w:r>
    </w:p>
    <w:p w:rsidR="00904AE3" w:rsidRPr="00777073" w:rsidRDefault="00904AE3" w:rsidP="00904AE3">
      <w:pPr>
        <w:pStyle w:val="ListParagraph"/>
        <w:numPr>
          <w:ilvl w:val="0"/>
          <w:numId w:val="23"/>
        </w:numPr>
        <w:rPr>
          <w:rFonts w:ascii="Times New Roman" w:hAnsi="Times New Roman" w:cs="Times New Roman"/>
          <w:sz w:val="24"/>
          <w:szCs w:val="24"/>
        </w:rPr>
      </w:pPr>
      <w:r w:rsidRPr="00777073">
        <w:rPr>
          <w:rFonts w:ascii="Times New Roman" w:hAnsi="Times New Roman" w:cs="Times New Roman"/>
          <w:sz w:val="24"/>
          <w:szCs w:val="24"/>
        </w:rPr>
        <w:t>a reduction in the number of students who receive negative academic decisions (probation, watch, and warning)</w:t>
      </w:r>
    </w:p>
    <w:p w:rsidR="00904AE3" w:rsidRPr="00777073" w:rsidRDefault="00904AE3" w:rsidP="00904AE3">
      <w:pPr>
        <w:pStyle w:val="ListParagraph"/>
        <w:numPr>
          <w:ilvl w:val="0"/>
          <w:numId w:val="23"/>
        </w:numPr>
        <w:rPr>
          <w:rFonts w:ascii="Times New Roman" w:hAnsi="Times New Roman" w:cs="Times New Roman"/>
          <w:sz w:val="24"/>
          <w:szCs w:val="24"/>
        </w:rPr>
      </w:pPr>
      <w:r w:rsidRPr="00777073">
        <w:rPr>
          <w:rFonts w:ascii="Times New Roman" w:hAnsi="Times New Roman" w:cs="Times New Roman"/>
          <w:sz w:val="24"/>
          <w:szCs w:val="24"/>
        </w:rPr>
        <w:t>an increase student academic success</w:t>
      </w:r>
    </w:p>
    <w:p w:rsidR="00904AE3" w:rsidRPr="00777073" w:rsidRDefault="00904AE3" w:rsidP="00904AE3">
      <w:pPr>
        <w:pStyle w:val="ListParagraph"/>
        <w:numPr>
          <w:ilvl w:val="0"/>
          <w:numId w:val="23"/>
        </w:numPr>
        <w:rPr>
          <w:rFonts w:ascii="Times New Roman" w:hAnsi="Times New Roman" w:cs="Times New Roman"/>
          <w:sz w:val="24"/>
          <w:szCs w:val="24"/>
        </w:rPr>
      </w:pPr>
      <w:r w:rsidRPr="00777073">
        <w:rPr>
          <w:rFonts w:ascii="Times New Roman" w:hAnsi="Times New Roman" w:cs="Times New Roman"/>
          <w:sz w:val="24"/>
          <w:szCs w:val="24"/>
        </w:rPr>
        <w:t xml:space="preserve">an increase communication between students and support personnel </w:t>
      </w:r>
    </w:p>
    <w:p w:rsidR="00904AE3" w:rsidRPr="00777073" w:rsidRDefault="00904AE3" w:rsidP="00904AE3">
      <w:pPr>
        <w:pStyle w:val="ListParagraph"/>
        <w:numPr>
          <w:ilvl w:val="0"/>
          <w:numId w:val="23"/>
        </w:numPr>
        <w:rPr>
          <w:rFonts w:ascii="Times New Roman" w:hAnsi="Times New Roman" w:cs="Times New Roman"/>
          <w:sz w:val="24"/>
          <w:szCs w:val="24"/>
        </w:rPr>
      </w:pPr>
      <w:r w:rsidRPr="00777073">
        <w:rPr>
          <w:rFonts w:ascii="Times New Roman" w:hAnsi="Times New Roman" w:cs="Times New Roman"/>
          <w:sz w:val="24"/>
          <w:szCs w:val="24"/>
        </w:rPr>
        <w:t>an improvement in the visibility and utilization of the academic support services</w:t>
      </w:r>
    </w:p>
    <w:p w:rsidR="00904AE3" w:rsidRPr="00777073" w:rsidRDefault="00904AE3" w:rsidP="00904AE3">
      <w:pPr>
        <w:spacing w:before="240"/>
        <w:rPr>
          <w:rFonts w:ascii="Times New Roman" w:hAnsi="Times New Roman" w:cs="Times New Roman"/>
          <w:sz w:val="24"/>
          <w:szCs w:val="24"/>
        </w:rPr>
      </w:pPr>
      <w:r w:rsidRPr="00777073">
        <w:rPr>
          <w:rFonts w:ascii="Times New Roman" w:hAnsi="Times New Roman" w:cs="Times New Roman"/>
          <w:sz w:val="24"/>
          <w:szCs w:val="24"/>
        </w:rPr>
        <w:t>Early Alerts are often referred to as “rolling alerts” because the advising department receives them past the initial deadline (which is a few days prior to midterm grades) and continuously throughout the remainder of the semester.  Timeliness is an issue that may be a contributing factor to determining the efficacy of this intervention.  Providing worthwhile assistance to students at risk of failing is a challenge when the Early Alert system is used merely as a form of documentation rather than the first important step toward crafting strategies to protect students’ GPAs and enhance their overall academic performance.  Furthermore, the system needs to be used more consistently as the data analysis will show.</w:t>
      </w:r>
    </w:p>
    <w:p w:rsidR="00904AE3" w:rsidRPr="005E3325" w:rsidRDefault="005E3325" w:rsidP="00904AE3">
      <w:pPr>
        <w:spacing w:before="240"/>
        <w:rPr>
          <w:rFonts w:ascii="Times New Roman" w:hAnsi="Times New Roman" w:cs="Times New Roman"/>
          <w:sz w:val="24"/>
          <w:szCs w:val="24"/>
        </w:rPr>
      </w:pPr>
      <w:r>
        <w:rPr>
          <w:rFonts w:ascii="Times New Roman" w:hAnsi="Times New Roman" w:cs="Times New Roman"/>
          <w:sz w:val="24"/>
          <w:szCs w:val="24"/>
        </w:rPr>
        <w:t>Graph 1:  Early Alert Comparison, Fall 2012-Spring 2013</w:t>
      </w:r>
    </w:p>
    <w:p w:rsidR="00904AE3" w:rsidRPr="00777073" w:rsidRDefault="00904AE3" w:rsidP="00904AE3">
      <w:pPr>
        <w:spacing w:before="240"/>
        <w:rPr>
          <w:rFonts w:ascii="Times New Roman" w:hAnsi="Times New Roman" w:cs="Times New Roman"/>
          <w:sz w:val="24"/>
          <w:szCs w:val="24"/>
        </w:rPr>
      </w:pPr>
      <w:r w:rsidRPr="00777073">
        <w:rPr>
          <w:rFonts w:ascii="Times New Roman" w:hAnsi="Times New Roman" w:cs="Times New Roman"/>
          <w:noProof/>
          <w:sz w:val="24"/>
          <w:szCs w:val="24"/>
        </w:rPr>
        <w:drawing>
          <wp:inline distT="0" distB="0" distL="0" distR="0">
            <wp:extent cx="5715000" cy="2409825"/>
            <wp:effectExtent l="0" t="0" r="19050" b="952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3325" w:rsidRDefault="005E3325" w:rsidP="00904AE3">
      <w:pPr>
        <w:spacing w:before="240"/>
        <w:rPr>
          <w:rFonts w:ascii="Times New Roman" w:hAnsi="Times New Roman" w:cs="Times New Roman"/>
          <w:sz w:val="24"/>
          <w:szCs w:val="24"/>
        </w:rPr>
      </w:pPr>
    </w:p>
    <w:p w:rsidR="00904AE3" w:rsidRPr="00777073" w:rsidRDefault="00904AE3" w:rsidP="00904AE3">
      <w:pPr>
        <w:spacing w:before="240"/>
        <w:rPr>
          <w:rFonts w:ascii="Times New Roman" w:hAnsi="Times New Roman" w:cs="Times New Roman"/>
          <w:sz w:val="24"/>
          <w:szCs w:val="24"/>
        </w:rPr>
      </w:pPr>
      <w:r w:rsidRPr="00777073">
        <w:rPr>
          <w:rFonts w:ascii="Times New Roman" w:hAnsi="Times New Roman" w:cs="Times New Roman"/>
          <w:sz w:val="24"/>
          <w:szCs w:val="24"/>
        </w:rPr>
        <w:lastRenderedPageBreak/>
        <w:t xml:space="preserve">In a Fall 2012 to Spring 2013 comparison fewer students received Early Alerts, 22% versus 17% respectively.  This can be attributed to the fact that </w:t>
      </w:r>
      <w:r w:rsidR="005E3325">
        <w:rPr>
          <w:rFonts w:ascii="Times New Roman" w:hAnsi="Times New Roman" w:cs="Times New Roman"/>
          <w:sz w:val="24"/>
          <w:szCs w:val="24"/>
        </w:rPr>
        <w:t>forty-four</w:t>
      </w:r>
      <w:r w:rsidRPr="00777073">
        <w:rPr>
          <w:rFonts w:ascii="Times New Roman" w:hAnsi="Times New Roman" w:cs="Times New Roman"/>
          <w:sz w:val="24"/>
          <w:szCs w:val="24"/>
        </w:rPr>
        <w:t xml:space="preserve"> faculty (including adjuncts) submitted alerts in the fall while only </w:t>
      </w:r>
      <w:r w:rsidR="005E3325">
        <w:rPr>
          <w:rFonts w:ascii="Times New Roman" w:hAnsi="Times New Roman" w:cs="Times New Roman"/>
          <w:sz w:val="24"/>
          <w:szCs w:val="24"/>
        </w:rPr>
        <w:t>nineteen</w:t>
      </w:r>
      <w:r w:rsidRPr="00777073">
        <w:rPr>
          <w:rFonts w:ascii="Times New Roman" w:hAnsi="Times New Roman" w:cs="Times New Roman"/>
          <w:sz w:val="24"/>
          <w:szCs w:val="24"/>
        </w:rPr>
        <w:t xml:space="preserve"> submitted alerts in the spring.  With the reduction in both the number of alerts submitted and the number of faculty submitting, it may be too early to determine how effective the system is.</w:t>
      </w:r>
      <w:r w:rsidR="005E3325">
        <w:rPr>
          <w:rFonts w:ascii="Times New Roman" w:hAnsi="Times New Roman" w:cs="Times New Roman"/>
          <w:sz w:val="24"/>
          <w:szCs w:val="24"/>
        </w:rPr>
        <w:t xml:space="preserve">  </w:t>
      </w:r>
    </w:p>
    <w:p w:rsidR="001436F2" w:rsidRDefault="001436F2" w:rsidP="00904AE3">
      <w:pPr>
        <w:spacing w:before="240"/>
        <w:rPr>
          <w:rFonts w:ascii="Times New Roman" w:hAnsi="Times New Roman" w:cs="Times New Roman"/>
          <w:sz w:val="24"/>
          <w:szCs w:val="24"/>
        </w:rPr>
      </w:pPr>
      <w:r>
        <w:rPr>
          <w:rFonts w:ascii="Times New Roman" w:hAnsi="Times New Roman" w:cs="Times New Roman"/>
          <w:sz w:val="24"/>
          <w:szCs w:val="24"/>
        </w:rPr>
        <w:t xml:space="preserve">One hundred and eighty four of the 313 students </w:t>
      </w:r>
      <w:r w:rsidR="00904AE3" w:rsidRPr="00777073">
        <w:rPr>
          <w:rFonts w:ascii="Times New Roman" w:hAnsi="Times New Roman" w:cs="Times New Roman"/>
          <w:sz w:val="24"/>
          <w:szCs w:val="24"/>
        </w:rPr>
        <w:t xml:space="preserve">included in the Academic Standing </w:t>
      </w:r>
      <w:r>
        <w:rPr>
          <w:rFonts w:ascii="Times New Roman" w:hAnsi="Times New Roman" w:cs="Times New Roman"/>
          <w:sz w:val="24"/>
          <w:szCs w:val="24"/>
        </w:rPr>
        <w:t xml:space="preserve">report pulled from PowerCampus had </w:t>
      </w:r>
      <w:r w:rsidR="00904AE3" w:rsidRPr="00777073">
        <w:rPr>
          <w:rFonts w:ascii="Times New Roman" w:hAnsi="Times New Roman" w:cs="Times New Roman"/>
          <w:sz w:val="24"/>
          <w:szCs w:val="24"/>
        </w:rPr>
        <w:t xml:space="preserve">received </w:t>
      </w:r>
      <w:r>
        <w:rPr>
          <w:rFonts w:ascii="Times New Roman" w:hAnsi="Times New Roman" w:cs="Times New Roman"/>
          <w:sz w:val="24"/>
          <w:szCs w:val="24"/>
        </w:rPr>
        <w:t>an Early Alert; however, about 33% of these students received a negative academic standing decision</w:t>
      </w:r>
      <w:r w:rsidR="00904AE3" w:rsidRPr="00777073">
        <w:rPr>
          <w:rFonts w:ascii="Times New Roman" w:hAnsi="Times New Roman" w:cs="Times New Roman"/>
          <w:sz w:val="24"/>
          <w:szCs w:val="24"/>
        </w:rPr>
        <w:t>.</w:t>
      </w:r>
      <w:r>
        <w:rPr>
          <w:rFonts w:ascii="Times New Roman" w:hAnsi="Times New Roman" w:cs="Times New Roman"/>
          <w:sz w:val="24"/>
          <w:szCs w:val="24"/>
        </w:rPr>
        <w:t xml:space="preserve"> </w:t>
      </w:r>
      <w:r w:rsidRPr="001436F2">
        <w:rPr>
          <w:rFonts w:ascii="Times New Roman" w:hAnsi="Times New Roman" w:cs="Times New Roman"/>
          <w:sz w:val="24"/>
          <w:szCs w:val="24"/>
        </w:rPr>
        <w:t>The following chart and data analyze the relationsh</w:t>
      </w:r>
      <w:r>
        <w:rPr>
          <w:rFonts w:ascii="Times New Roman" w:hAnsi="Times New Roman" w:cs="Times New Roman"/>
          <w:sz w:val="24"/>
          <w:szCs w:val="24"/>
        </w:rPr>
        <w:t xml:space="preserve">ip between Early Alerts and </w:t>
      </w:r>
      <w:r w:rsidRPr="001436F2">
        <w:rPr>
          <w:rFonts w:ascii="Times New Roman" w:hAnsi="Times New Roman" w:cs="Times New Roman"/>
          <w:sz w:val="24"/>
          <w:szCs w:val="24"/>
        </w:rPr>
        <w:t>CAS Academic Standing for Spring 2013.</w:t>
      </w:r>
    </w:p>
    <w:p w:rsidR="00904AE3" w:rsidRPr="00777073" w:rsidRDefault="005E3325" w:rsidP="00904AE3">
      <w:pPr>
        <w:spacing w:before="240"/>
        <w:rPr>
          <w:rFonts w:ascii="Times New Roman" w:hAnsi="Times New Roman" w:cs="Times New Roman"/>
          <w:sz w:val="24"/>
          <w:szCs w:val="24"/>
        </w:rPr>
      </w:pPr>
      <w:r>
        <w:rPr>
          <w:rFonts w:ascii="Times New Roman" w:hAnsi="Times New Roman" w:cs="Times New Roman"/>
          <w:sz w:val="24"/>
          <w:szCs w:val="24"/>
        </w:rPr>
        <w:t>Graph 2:  Relationship between Early Alerts and Academic Standing</w:t>
      </w:r>
      <w:r w:rsidR="00904AE3" w:rsidRPr="00777073">
        <w:rPr>
          <w:rFonts w:ascii="Times New Roman" w:hAnsi="Times New Roman" w:cs="Times New Roman"/>
          <w:sz w:val="24"/>
          <w:szCs w:val="24"/>
        </w:rPr>
        <w:t xml:space="preserve">  </w:t>
      </w:r>
    </w:p>
    <w:p w:rsidR="00904AE3" w:rsidRPr="00777073" w:rsidRDefault="00904AE3" w:rsidP="00904AE3">
      <w:pPr>
        <w:spacing w:before="240"/>
        <w:rPr>
          <w:rFonts w:ascii="Times New Roman" w:hAnsi="Times New Roman" w:cs="Times New Roman"/>
          <w:sz w:val="24"/>
          <w:szCs w:val="24"/>
        </w:rPr>
      </w:pPr>
      <w:r w:rsidRPr="00777073">
        <w:rPr>
          <w:rFonts w:ascii="Times New Roman" w:hAnsi="Times New Roman" w:cs="Times New Roman"/>
          <w:noProof/>
          <w:sz w:val="24"/>
          <w:szCs w:val="24"/>
        </w:rPr>
        <w:drawing>
          <wp:inline distT="0" distB="0" distL="0" distR="0">
            <wp:extent cx="5486400" cy="3200400"/>
            <wp:effectExtent l="0" t="0" r="19050" b="1905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4AE3" w:rsidRPr="00777073" w:rsidRDefault="00904AE3" w:rsidP="00904AE3">
      <w:pPr>
        <w:spacing w:before="240"/>
        <w:rPr>
          <w:rFonts w:ascii="Times New Roman" w:hAnsi="Times New Roman" w:cs="Times New Roman"/>
          <w:sz w:val="24"/>
          <w:szCs w:val="24"/>
        </w:rPr>
      </w:pPr>
      <w:r w:rsidRPr="00777073">
        <w:rPr>
          <w:rFonts w:ascii="Times New Roman" w:hAnsi="Times New Roman" w:cs="Times New Roman"/>
          <w:sz w:val="24"/>
          <w:szCs w:val="24"/>
        </w:rPr>
        <w:t>The numeric and percentage breakdown is as follows:</w:t>
      </w:r>
    </w:p>
    <w:p w:rsidR="00904AE3" w:rsidRPr="00777073" w:rsidRDefault="00904AE3" w:rsidP="00904AE3">
      <w:pPr>
        <w:pStyle w:val="ListParagraph"/>
        <w:numPr>
          <w:ilvl w:val="0"/>
          <w:numId w:val="24"/>
        </w:numPr>
        <w:spacing w:before="240"/>
        <w:rPr>
          <w:rFonts w:ascii="Times New Roman" w:hAnsi="Times New Roman" w:cs="Times New Roman"/>
          <w:sz w:val="24"/>
          <w:szCs w:val="24"/>
        </w:rPr>
      </w:pPr>
      <w:r w:rsidRPr="00777073">
        <w:rPr>
          <w:rFonts w:ascii="Times New Roman" w:hAnsi="Times New Roman" w:cs="Times New Roman"/>
          <w:sz w:val="24"/>
          <w:szCs w:val="24"/>
        </w:rPr>
        <w:t>26 of 313 students did not receive an Academic Standing decision which represents 8.3%</w:t>
      </w:r>
    </w:p>
    <w:p w:rsidR="00904AE3" w:rsidRPr="00777073" w:rsidRDefault="00904AE3" w:rsidP="00904AE3">
      <w:pPr>
        <w:pStyle w:val="ListParagraph"/>
        <w:numPr>
          <w:ilvl w:val="0"/>
          <w:numId w:val="24"/>
        </w:numPr>
        <w:spacing w:before="240"/>
        <w:rPr>
          <w:rFonts w:ascii="Times New Roman" w:hAnsi="Times New Roman" w:cs="Times New Roman"/>
          <w:sz w:val="24"/>
          <w:szCs w:val="24"/>
        </w:rPr>
      </w:pPr>
      <w:r w:rsidRPr="00777073">
        <w:rPr>
          <w:rFonts w:ascii="Times New Roman" w:hAnsi="Times New Roman" w:cs="Times New Roman"/>
          <w:sz w:val="24"/>
          <w:szCs w:val="24"/>
        </w:rPr>
        <w:t>76 of 313 students who received Early Alerts we</w:t>
      </w:r>
      <w:r w:rsidR="005E3325">
        <w:rPr>
          <w:rFonts w:ascii="Times New Roman" w:hAnsi="Times New Roman" w:cs="Times New Roman"/>
          <w:sz w:val="24"/>
          <w:szCs w:val="24"/>
        </w:rPr>
        <w:t>re placed on Probation (either 1, 2</w:t>
      </w:r>
      <w:r w:rsidRPr="00777073">
        <w:rPr>
          <w:rFonts w:ascii="Times New Roman" w:hAnsi="Times New Roman" w:cs="Times New Roman"/>
          <w:sz w:val="24"/>
          <w:szCs w:val="24"/>
        </w:rPr>
        <w:t>, or Continuing) which represents 24.2%</w:t>
      </w:r>
    </w:p>
    <w:p w:rsidR="00904AE3" w:rsidRPr="00777073" w:rsidRDefault="00904AE3" w:rsidP="00904AE3">
      <w:pPr>
        <w:pStyle w:val="ListParagraph"/>
        <w:numPr>
          <w:ilvl w:val="0"/>
          <w:numId w:val="24"/>
        </w:numPr>
        <w:spacing w:before="240"/>
        <w:rPr>
          <w:rFonts w:ascii="Times New Roman" w:hAnsi="Times New Roman" w:cs="Times New Roman"/>
          <w:sz w:val="24"/>
          <w:szCs w:val="24"/>
        </w:rPr>
      </w:pPr>
      <w:r w:rsidRPr="00777073">
        <w:rPr>
          <w:rFonts w:ascii="Times New Roman" w:hAnsi="Times New Roman" w:cs="Times New Roman"/>
          <w:sz w:val="24"/>
          <w:szCs w:val="24"/>
        </w:rPr>
        <w:t>12 of 313 students who received Early Alerts were placed on Watch (or Warning) which represents 3.8%</w:t>
      </w:r>
    </w:p>
    <w:p w:rsidR="00904AE3" w:rsidRPr="00777073" w:rsidRDefault="00904AE3" w:rsidP="00904AE3">
      <w:pPr>
        <w:pStyle w:val="ListParagraph"/>
        <w:numPr>
          <w:ilvl w:val="0"/>
          <w:numId w:val="24"/>
        </w:numPr>
        <w:spacing w:before="240"/>
        <w:rPr>
          <w:rFonts w:ascii="Times New Roman" w:hAnsi="Times New Roman" w:cs="Times New Roman"/>
          <w:sz w:val="24"/>
          <w:szCs w:val="24"/>
        </w:rPr>
      </w:pPr>
      <w:r w:rsidRPr="00777073">
        <w:rPr>
          <w:rFonts w:ascii="Times New Roman" w:hAnsi="Times New Roman" w:cs="Times New Roman"/>
          <w:sz w:val="24"/>
          <w:szCs w:val="24"/>
        </w:rPr>
        <w:t>16 of 313 students who received Early Alerts were Dismissed from Trinity which represents 5.1%</w:t>
      </w:r>
    </w:p>
    <w:p w:rsidR="00904AE3" w:rsidRPr="00777073" w:rsidRDefault="00904AE3" w:rsidP="00904AE3">
      <w:pPr>
        <w:pStyle w:val="ListParagraph"/>
        <w:numPr>
          <w:ilvl w:val="0"/>
          <w:numId w:val="24"/>
        </w:numPr>
        <w:spacing w:before="240"/>
        <w:rPr>
          <w:rFonts w:ascii="Times New Roman" w:hAnsi="Times New Roman" w:cs="Times New Roman"/>
          <w:sz w:val="24"/>
          <w:szCs w:val="24"/>
        </w:rPr>
      </w:pPr>
      <w:r w:rsidRPr="00777073">
        <w:rPr>
          <w:rFonts w:ascii="Times New Roman" w:hAnsi="Times New Roman" w:cs="Times New Roman"/>
          <w:sz w:val="24"/>
          <w:szCs w:val="24"/>
        </w:rPr>
        <w:t>Overall, approximately 67% or two-thirds of the students who received an Academic Standing decision did not receive Early Alerts for the Spring 2013 semester</w:t>
      </w:r>
    </w:p>
    <w:p w:rsidR="00B83BCF" w:rsidRPr="00777073" w:rsidRDefault="005E3325" w:rsidP="00B83BCF">
      <w:pPr>
        <w:rPr>
          <w:rFonts w:ascii="Times New Roman" w:hAnsi="Times New Roman" w:cs="Times New Roman"/>
          <w:sz w:val="24"/>
          <w:szCs w:val="24"/>
        </w:rPr>
      </w:pPr>
      <w:r>
        <w:rPr>
          <w:rFonts w:ascii="Times New Roman" w:hAnsi="Times New Roman" w:cs="Times New Roman"/>
          <w:sz w:val="24"/>
          <w:szCs w:val="24"/>
        </w:rPr>
        <w:lastRenderedPageBreak/>
        <w:t>I</w:t>
      </w:r>
      <w:r w:rsidR="00B83BCF" w:rsidRPr="00777073">
        <w:rPr>
          <w:rFonts w:ascii="Times New Roman" w:hAnsi="Times New Roman" w:cs="Times New Roman"/>
          <w:sz w:val="24"/>
          <w:szCs w:val="24"/>
        </w:rPr>
        <w:t xml:space="preserve">n </w:t>
      </w:r>
      <w:r w:rsidR="00C44AE4" w:rsidRPr="00777073">
        <w:rPr>
          <w:rFonts w:ascii="Times New Roman" w:hAnsi="Times New Roman" w:cs="Times New Roman"/>
          <w:sz w:val="24"/>
          <w:szCs w:val="24"/>
        </w:rPr>
        <w:t>F</w:t>
      </w:r>
      <w:r w:rsidR="004D0AFF" w:rsidRPr="00777073">
        <w:rPr>
          <w:rFonts w:ascii="Times New Roman" w:hAnsi="Times New Roman" w:cs="Times New Roman"/>
          <w:sz w:val="24"/>
          <w:szCs w:val="24"/>
        </w:rPr>
        <w:t>all 2012</w:t>
      </w:r>
      <w:r w:rsidR="00455038" w:rsidRPr="00777073">
        <w:rPr>
          <w:rFonts w:ascii="Times New Roman" w:hAnsi="Times New Roman" w:cs="Times New Roman"/>
          <w:sz w:val="24"/>
          <w:szCs w:val="24"/>
        </w:rPr>
        <w:t>,</w:t>
      </w:r>
      <w:r w:rsidR="00B83BCF" w:rsidRPr="00777073">
        <w:rPr>
          <w:rFonts w:ascii="Times New Roman" w:hAnsi="Times New Roman" w:cs="Times New Roman"/>
          <w:sz w:val="24"/>
          <w:szCs w:val="24"/>
        </w:rPr>
        <w:t xml:space="preserve"> faculty and instructional staff contac</w:t>
      </w:r>
      <w:r w:rsidR="004D0AFF" w:rsidRPr="00777073">
        <w:rPr>
          <w:rFonts w:ascii="Times New Roman" w:hAnsi="Times New Roman" w:cs="Times New Roman"/>
          <w:sz w:val="24"/>
          <w:szCs w:val="24"/>
        </w:rPr>
        <w:t>ted</w:t>
      </w:r>
      <w:r w:rsidR="00B83BCF" w:rsidRPr="00777073">
        <w:rPr>
          <w:rFonts w:ascii="Times New Roman" w:hAnsi="Times New Roman" w:cs="Times New Roman"/>
          <w:sz w:val="24"/>
          <w:szCs w:val="24"/>
        </w:rPr>
        <w:t xml:space="preserve"> the professional advising </w:t>
      </w:r>
      <w:r w:rsidR="00455038" w:rsidRPr="00777073">
        <w:rPr>
          <w:rFonts w:ascii="Times New Roman" w:hAnsi="Times New Roman" w:cs="Times New Roman"/>
          <w:sz w:val="24"/>
          <w:szCs w:val="24"/>
        </w:rPr>
        <w:t>office</w:t>
      </w:r>
      <w:r w:rsidR="004D0AFF" w:rsidRPr="00777073">
        <w:rPr>
          <w:rFonts w:ascii="Times New Roman" w:hAnsi="Times New Roman" w:cs="Times New Roman"/>
          <w:sz w:val="24"/>
          <w:szCs w:val="24"/>
        </w:rPr>
        <w:t xml:space="preserve"> </w:t>
      </w:r>
      <w:r w:rsidR="00B83BCF" w:rsidRPr="00777073">
        <w:rPr>
          <w:rFonts w:ascii="Times New Roman" w:hAnsi="Times New Roman" w:cs="Times New Roman"/>
          <w:sz w:val="24"/>
          <w:szCs w:val="24"/>
        </w:rPr>
        <w:t>with the names of students who were failing their courses within the first 3 weeks of classes.</w:t>
      </w:r>
      <w:r w:rsidR="00455038" w:rsidRPr="00777073">
        <w:rPr>
          <w:rFonts w:ascii="Times New Roman" w:hAnsi="Times New Roman" w:cs="Times New Roman"/>
          <w:sz w:val="24"/>
          <w:szCs w:val="24"/>
        </w:rPr>
        <w:t xml:space="preserve">  </w:t>
      </w:r>
      <w:r w:rsidR="00B83BCF" w:rsidRPr="00777073">
        <w:rPr>
          <w:rFonts w:ascii="Times New Roman" w:hAnsi="Times New Roman" w:cs="Times New Roman"/>
          <w:sz w:val="24"/>
          <w:szCs w:val="24"/>
        </w:rPr>
        <w:t>This year</w:t>
      </w:r>
      <w:r w:rsidR="00961315" w:rsidRPr="00777073">
        <w:rPr>
          <w:rFonts w:ascii="Times New Roman" w:hAnsi="Times New Roman" w:cs="Times New Roman"/>
          <w:sz w:val="24"/>
          <w:szCs w:val="24"/>
        </w:rPr>
        <w:t>,</w:t>
      </w:r>
      <w:r w:rsidR="00B83BCF" w:rsidRPr="00777073">
        <w:rPr>
          <w:rFonts w:ascii="Times New Roman" w:hAnsi="Times New Roman" w:cs="Times New Roman"/>
          <w:sz w:val="24"/>
          <w:szCs w:val="24"/>
        </w:rPr>
        <w:t xml:space="preserve"> the professional advisors directly contacted </w:t>
      </w:r>
      <w:r w:rsidR="004D0AFF" w:rsidRPr="00777073">
        <w:rPr>
          <w:rFonts w:ascii="Times New Roman" w:hAnsi="Times New Roman" w:cs="Times New Roman"/>
          <w:sz w:val="24"/>
          <w:szCs w:val="24"/>
        </w:rPr>
        <w:t>100</w:t>
      </w:r>
      <w:r w:rsidR="00B83BCF" w:rsidRPr="00777073">
        <w:rPr>
          <w:rFonts w:ascii="Times New Roman" w:hAnsi="Times New Roman" w:cs="Times New Roman"/>
          <w:sz w:val="24"/>
          <w:szCs w:val="24"/>
        </w:rPr>
        <w:t>% of the</w:t>
      </w:r>
      <w:r>
        <w:rPr>
          <w:rFonts w:ascii="Times New Roman" w:hAnsi="Times New Roman" w:cs="Times New Roman"/>
          <w:sz w:val="24"/>
          <w:szCs w:val="24"/>
        </w:rPr>
        <w:t>se early alert students</w:t>
      </w:r>
      <w:r w:rsidR="00B83BCF" w:rsidRPr="00777073">
        <w:rPr>
          <w:rFonts w:ascii="Times New Roman" w:hAnsi="Times New Roman" w:cs="Times New Roman"/>
          <w:sz w:val="24"/>
          <w:szCs w:val="24"/>
        </w:rPr>
        <w:t>.</w:t>
      </w:r>
      <w:r w:rsidR="00455038" w:rsidRPr="00777073">
        <w:rPr>
          <w:rFonts w:ascii="Times New Roman" w:hAnsi="Times New Roman" w:cs="Times New Roman"/>
          <w:sz w:val="24"/>
          <w:szCs w:val="24"/>
        </w:rPr>
        <w:t xml:space="preserve">  In addition, we added a new initiative:  working closely with the Math specialist program to immediately outreach to students who were not fully participating in either the classroom and/or laboratory components of Math 101S.  The specialists credited this collaboration in their report on increased pass rates in this key pre-foundational math course.</w:t>
      </w:r>
      <w:r w:rsidR="00B83BCF" w:rsidRPr="00777073">
        <w:rPr>
          <w:rFonts w:ascii="Times New Roman" w:hAnsi="Times New Roman" w:cs="Times New Roman"/>
          <w:b/>
          <w:sz w:val="24"/>
          <w:szCs w:val="24"/>
        </w:rPr>
        <w:t xml:space="preserve">  </w:t>
      </w:r>
    </w:p>
    <w:p w:rsidR="00B83BCF" w:rsidRPr="00777073" w:rsidRDefault="00B83BCF" w:rsidP="00B83BCF">
      <w:pPr>
        <w:rPr>
          <w:rFonts w:ascii="Times New Roman" w:hAnsi="Times New Roman" w:cs="Times New Roman"/>
          <w:sz w:val="24"/>
          <w:szCs w:val="24"/>
        </w:rPr>
      </w:pPr>
      <w:r w:rsidRPr="00777073">
        <w:rPr>
          <w:rFonts w:ascii="Times New Roman" w:hAnsi="Times New Roman" w:cs="Times New Roman"/>
          <w:sz w:val="24"/>
          <w:szCs w:val="24"/>
        </w:rPr>
        <w:t xml:space="preserve">In addition to providing faculty with the names of advisees in danger of failing courses, advising also provided </w:t>
      </w:r>
      <w:r w:rsidR="004D0AFF" w:rsidRPr="00777073">
        <w:rPr>
          <w:rFonts w:ascii="Times New Roman" w:hAnsi="Times New Roman" w:cs="Times New Roman"/>
          <w:sz w:val="24"/>
          <w:szCs w:val="24"/>
        </w:rPr>
        <w:t>Academic Services with the names of students who received alerts in multiple courses to signal the “high risk” for academic intervention</w:t>
      </w:r>
      <w:r w:rsidRPr="00777073">
        <w:rPr>
          <w:rFonts w:ascii="Times New Roman" w:hAnsi="Times New Roman" w:cs="Times New Roman"/>
          <w:sz w:val="24"/>
          <w:szCs w:val="24"/>
        </w:rPr>
        <w:t>.</w:t>
      </w:r>
      <w:r w:rsidR="00455038" w:rsidRPr="00777073">
        <w:rPr>
          <w:rFonts w:ascii="Times New Roman" w:hAnsi="Times New Roman" w:cs="Times New Roman"/>
          <w:sz w:val="24"/>
          <w:szCs w:val="24"/>
        </w:rPr>
        <w:t xml:space="preserve">  </w:t>
      </w:r>
      <w:r w:rsidRPr="00777073">
        <w:rPr>
          <w:rFonts w:ascii="Times New Roman" w:hAnsi="Times New Roman" w:cs="Times New Roman"/>
          <w:sz w:val="24"/>
          <w:szCs w:val="24"/>
        </w:rPr>
        <w:t xml:space="preserve">The design of the early alert form requires instructors to indicate the primary reasons that individual students are not doing well in their courses. </w:t>
      </w:r>
    </w:p>
    <w:p w:rsidR="00B83BCF" w:rsidRPr="00777073" w:rsidRDefault="004D0AFF" w:rsidP="00B83BCF">
      <w:pPr>
        <w:rPr>
          <w:rFonts w:ascii="Times New Roman" w:hAnsi="Times New Roman" w:cs="Times New Roman"/>
          <w:b/>
          <w:sz w:val="24"/>
          <w:szCs w:val="24"/>
        </w:rPr>
      </w:pPr>
      <w:r w:rsidRPr="00777073">
        <w:rPr>
          <w:rFonts w:ascii="Times New Roman" w:hAnsi="Times New Roman" w:cs="Times New Roman"/>
          <w:b/>
          <w:sz w:val="24"/>
          <w:szCs w:val="24"/>
        </w:rPr>
        <w:t>Of the 290</w:t>
      </w:r>
      <w:r w:rsidR="00B83BCF" w:rsidRPr="00777073">
        <w:rPr>
          <w:rFonts w:ascii="Times New Roman" w:hAnsi="Times New Roman" w:cs="Times New Roman"/>
          <w:b/>
          <w:sz w:val="24"/>
          <w:szCs w:val="24"/>
        </w:rPr>
        <w:t xml:space="preserve"> early ale</w:t>
      </w:r>
      <w:r w:rsidR="00C44AE4" w:rsidRPr="00777073">
        <w:rPr>
          <w:rFonts w:ascii="Times New Roman" w:hAnsi="Times New Roman" w:cs="Times New Roman"/>
          <w:b/>
          <w:sz w:val="24"/>
          <w:szCs w:val="24"/>
        </w:rPr>
        <w:t>rt notices received in F</w:t>
      </w:r>
      <w:r w:rsidRPr="00777073">
        <w:rPr>
          <w:rFonts w:ascii="Times New Roman" w:hAnsi="Times New Roman" w:cs="Times New Roman"/>
          <w:b/>
          <w:sz w:val="24"/>
          <w:szCs w:val="24"/>
        </w:rPr>
        <w:t>all 2012</w:t>
      </w:r>
      <w:r w:rsidR="00B83BCF" w:rsidRPr="00777073">
        <w:rPr>
          <w:rFonts w:ascii="Times New Roman" w:hAnsi="Times New Roman" w:cs="Times New Roman"/>
          <w:b/>
          <w:sz w:val="24"/>
          <w:szCs w:val="24"/>
        </w:rPr>
        <w:t xml:space="preserve">, </w:t>
      </w:r>
    </w:p>
    <w:p w:rsidR="00B83BCF" w:rsidRPr="00777073" w:rsidRDefault="0065596D" w:rsidP="00B83BCF">
      <w:pPr>
        <w:pStyle w:val="ListParagraph"/>
        <w:numPr>
          <w:ilvl w:val="0"/>
          <w:numId w:val="2"/>
        </w:numPr>
        <w:rPr>
          <w:rFonts w:ascii="Times New Roman" w:hAnsi="Times New Roman" w:cs="Times New Roman"/>
          <w:i/>
          <w:sz w:val="24"/>
          <w:szCs w:val="24"/>
        </w:rPr>
      </w:pPr>
      <w:r w:rsidRPr="00777073">
        <w:rPr>
          <w:rFonts w:ascii="Times New Roman" w:hAnsi="Times New Roman" w:cs="Times New Roman"/>
          <w:b/>
          <w:i/>
          <w:sz w:val="24"/>
          <w:szCs w:val="24"/>
        </w:rPr>
        <w:t>25</w:t>
      </w:r>
      <w:r w:rsidR="00B83BCF" w:rsidRPr="00777073">
        <w:rPr>
          <w:rFonts w:ascii="Times New Roman" w:hAnsi="Times New Roman" w:cs="Times New Roman"/>
          <w:b/>
          <w:i/>
          <w:sz w:val="24"/>
          <w:szCs w:val="24"/>
        </w:rPr>
        <w:t>%</w:t>
      </w:r>
      <w:r w:rsidR="00B83BCF" w:rsidRPr="00777073">
        <w:rPr>
          <w:rFonts w:ascii="Times New Roman" w:hAnsi="Times New Roman" w:cs="Times New Roman"/>
          <w:i/>
          <w:sz w:val="24"/>
          <w:szCs w:val="24"/>
        </w:rPr>
        <w:t xml:space="preserve"> of instructors who submitted early alert notices indicated that students were failing the course because of “missed assignments.”</w:t>
      </w:r>
    </w:p>
    <w:p w:rsidR="00B83BCF" w:rsidRPr="00777073" w:rsidRDefault="0065596D" w:rsidP="00B83BCF">
      <w:pPr>
        <w:pStyle w:val="ListParagraph"/>
        <w:numPr>
          <w:ilvl w:val="0"/>
          <w:numId w:val="2"/>
        </w:numPr>
        <w:rPr>
          <w:rFonts w:ascii="Times New Roman" w:hAnsi="Times New Roman" w:cs="Times New Roman"/>
          <w:i/>
          <w:sz w:val="24"/>
          <w:szCs w:val="24"/>
        </w:rPr>
      </w:pPr>
      <w:r w:rsidRPr="00777073">
        <w:rPr>
          <w:rFonts w:ascii="Times New Roman" w:hAnsi="Times New Roman" w:cs="Times New Roman"/>
          <w:b/>
          <w:i/>
          <w:sz w:val="24"/>
          <w:szCs w:val="24"/>
        </w:rPr>
        <w:t>23</w:t>
      </w:r>
      <w:r w:rsidR="00B83BCF" w:rsidRPr="00777073">
        <w:rPr>
          <w:rFonts w:ascii="Times New Roman" w:hAnsi="Times New Roman" w:cs="Times New Roman"/>
          <w:b/>
          <w:i/>
          <w:sz w:val="24"/>
          <w:szCs w:val="24"/>
        </w:rPr>
        <w:t>%</w:t>
      </w:r>
      <w:r w:rsidR="00B83BCF" w:rsidRPr="00777073">
        <w:rPr>
          <w:rFonts w:ascii="Times New Roman" w:hAnsi="Times New Roman" w:cs="Times New Roman"/>
          <w:i/>
          <w:sz w:val="24"/>
          <w:szCs w:val="24"/>
        </w:rPr>
        <w:t xml:space="preserve"> of instructors who submitted early alert notices indicated that students were failing the course because they “</w:t>
      </w:r>
      <w:r w:rsidRPr="00777073">
        <w:rPr>
          <w:rFonts w:ascii="Times New Roman" w:hAnsi="Times New Roman" w:cs="Times New Roman"/>
          <w:i/>
          <w:sz w:val="24"/>
          <w:szCs w:val="24"/>
        </w:rPr>
        <w:t>low performance on exams and quizzes.”</w:t>
      </w:r>
    </w:p>
    <w:p w:rsidR="0065596D" w:rsidRPr="00777073" w:rsidRDefault="0065596D" w:rsidP="0065596D">
      <w:pPr>
        <w:pStyle w:val="ListParagraph"/>
        <w:numPr>
          <w:ilvl w:val="0"/>
          <w:numId w:val="2"/>
        </w:numPr>
        <w:rPr>
          <w:rFonts w:ascii="Times New Roman" w:hAnsi="Times New Roman" w:cs="Times New Roman"/>
          <w:i/>
          <w:sz w:val="24"/>
          <w:szCs w:val="24"/>
        </w:rPr>
      </w:pPr>
      <w:r w:rsidRPr="00777073">
        <w:rPr>
          <w:rFonts w:ascii="Times New Roman" w:hAnsi="Times New Roman" w:cs="Times New Roman"/>
          <w:b/>
          <w:i/>
          <w:sz w:val="24"/>
          <w:szCs w:val="24"/>
        </w:rPr>
        <w:t>10%</w:t>
      </w:r>
      <w:r w:rsidRPr="00777073">
        <w:rPr>
          <w:rFonts w:ascii="Times New Roman" w:hAnsi="Times New Roman" w:cs="Times New Roman"/>
          <w:i/>
          <w:sz w:val="24"/>
          <w:szCs w:val="24"/>
        </w:rPr>
        <w:t xml:space="preserve"> of instructors who submitted early alert forms indicated that students were failing the course because of “poor attendance.”  </w:t>
      </w:r>
    </w:p>
    <w:p w:rsidR="00B83BCF" w:rsidRPr="00777073" w:rsidRDefault="00961315" w:rsidP="00B83BCF">
      <w:pPr>
        <w:rPr>
          <w:rFonts w:ascii="Times New Roman" w:hAnsi="Times New Roman" w:cs="Times New Roman"/>
          <w:b/>
          <w:sz w:val="24"/>
          <w:szCs w:val="24"/>
        </w:rPr>
      </w:pPr>
      <w:r w:rsidRPr="00777073">
        <w:rPr>
          <w:rFonts w:ascii="Times New Roman" w:hAnsi="Times New Roman" w:cs="Times New Roman"/>
          <w:sz w:val="24"/>
          <w:szCs w:val="24"/>
        </w:rPr>
        <w:t>Early alert data also revealed</w:t>
      </w:r>
      <w:r w:rsidR="00B83BCF" w:rsidRPr="00777073">
        <w:rPr>
          <w:rFonts w:ascii="Times New Roman" w:hAnsi="Times New Roman" w:cs="Times New Roman"/>
          <w:sz w:val="24"/>
          <w:szCs w:val="24"/>
        </w:rPr>
        <w:t xml:space="preserve"> that some disciplines are more of a challenge than others for our students. A review </w:t>
      </w:r>
      <w:r w:rsidRPr="00777073">
        <w:rPr>
          <w:rFonts w:ascii="Times New Roman" w:hAnsi="Times New Roman" w:cs="Times New Roman"/>
          <w:sz w:val="24"/>
          <w:szCs w:val="24"/>
        </w:rPr>
        <w:t xml:space="preserve">of the early alert data in </w:t>
      </w:r>
      <w:r w:rsidR="002426DF" w:rsidRPr="00777073">
        <w:rPr>
          <w:rFonts w:ascii="Times New Roman" w:hAnsi="Times New Roman" w:cs="Times New Roman"/>
          <w:sz w:val="24"/>
          <w:szCs w:val="24"/>
        </w:rPr>
        <w:t>F</w:t>
      </w:r>
      <w:r w:rsidR="0065596D" w:rsidRPr="00777073">
        <w:rPr>
          <w:rFonts w:ascii="Times New Roman" w:hAnsi="Times New Roman" w:cs="Times New Roman"/>
          <w:sz w:val="24"/>
          <w:szCs w:val="24"/>
        </w:rPr>
        <w:t xml:space="preserve">all </w:t>
      </w:r>
      <w:r w:rsidRPr="00777073">
        <w:rPr>
          <w:rFonts w:ascii="Times New Roman" w:hAnsi="Times New Roman" w:cs="Times New Roman"/>
          <w:sz w:val="24"/>
          <w:szCs w:val="24"/>
        </w:rPr>
        <w:t>2012 illustrated</w:t>
      </w:r>
      <w:r w:rsidR="00B83BCF" w:rsidRPr="00777073">
        <w:rPr>
          <w:rFonts w:ascii="Times New Roman" w:hAnsi="Times New Roman" w:cs="Times New Roman"/>
          <w:sz w:val="24"/>
          <w:szCs w:val="24"/>
        </w:rPr>
        <w:t xml:space="preserve"> that Math is the most challenging discipline followed by English</w:t>
      </w:r>
      <w:r w:rsidR="0065596D" w:rsidRPr="00777073">
        <w:rPr>
          <w:rFonts w:ascii="Times New Roman" w:hAnsi="Times New Roman" w:cs="Times New Roman"/>
          <w:sz w:val="24"/>
          <w:szCs w:val="24"/>
        </w:rPr>
        <w:t>, Psychology, and Philosophy</w:t>
      </w:r>
      <w:r w:rsidR="00B83BCF" w:rsidRPr="00777073">
        <w:rPr>
          <w:rFonts w:ascii="Times New Roman" w:hAnsi="Times New Roman" w:cs="Times New Roman"/>
          <w:sz w:val="24"/>
          <w:szCs w:val="24"/>
        </w:rPr>
        <w:t>. However, this evidence is strictly anecdotal because the criterion for submitting early alerts is not standardized. Thus, some professors simply submit more early alert forms than others</w:t>
      </w:r>
      <w:r w:rsidR="00455038" w:rsidRPr="00777073">
        <w:rPr>
          <w:rFonts w:ascii="Times New Roman" w:hAnsi="Times New Roman" w:cs="Times New Roman"/>
          <w:sz w:val="24"/>
          <w:szCs w:val="24"/>
        </w:rPr>
        <w:t>,</w:t>
      </w:r>
      <w:r w:rsidR="0065596D" w:rsidRPr="00777073">
        <w:rPr>
          <w:rFonts w:ascii="Times New Roman" w:hAnsi="Times New Roman" w:cs="Times New Roman"/>
          <w:sz w:val="24"/>
          <w:szCs w:val="24"/>
        </w:rPr>
        <w:t xml:space="preserve"> while some professors do not submit early alert forms at all. This is especially distressing </w:t>
      </w:r>
      <w:r w:rsidRPr="00777073">
        <w:rPr>
          <w:rFonts w:ascii="Times New Roman" w:hAnsi="Times New Roman" w:cs="Times New Roman"/>
          <w:sz w:val="24"/>
          <w:szCs w:val="24"/>
        </w:rPr>
        <w:t xml:space="preserve">as it indicates that an unknown number of students </w:t>
      </w:r>
      <w:r w:rsidR="0065596D" w:rsidRPr="00777073">
        <w:rPr>
          <w:rFonts w:ascii="Times New Roman" w:hAnsi="Times New Roman" w:cs="Times New Roman"/>
          <w:sz w:val="24"/>
          <w:szCs w:val="24"/>
        </w:rPr>
        <w:t xml:space="preserve">with failing grades </w:t>
      </w:r>
      <w:r w:rsidRPr="00777073">
        <w:rPr>
          <w:rFonts w:ascii="Times New Roman" w:hAnsi="Times New Roman" w:cs="Times New Roman"/>
          <w:sz w:val="24"/>
          <w:szCs w:val="24"/>
        </w:rPr>
        <w:t>may</w:t>
      </w:r>
      <w:r w:rsidR="0065596D" w:rsidRPr="00777073">
        <w:rPr>
          <w:rFonts w:ascii="Times New Roman" w:hAnsi="Times New Roman" w:cs="Times New Roman"/>
          <w:sz w:val="24"/>
          <w:szCs w:val="24"/>
        </w:rPr>
        <w:t xml:space="preserve"> not have received a</w:t>
      </w:r>
      <w:r w:rsidRPr="00777073">
        <w:rPr>
          <w:rFonts w:ascii="Times New Roman" w:hAnsi="Times New Roman" w:cs="Times New Roman"/>
          <w:sz w:val="24"/>
          <w:szCs w:val="24"/>
        </w:rPr>
        <w:t>n early alert</w:t>
      </w:r>
      <w:r w:rsidR="0065596D" w:rsidRPr="00777073">
        <w:rPr>
          <w:rFonts w:ascii="Times New Roman" w:hAnsi="Times New Roman" w:cs="Times New Roman"/>
          <w:sz w:val="24"/>
          <w:szCs w:val="24"/>
        </w:rPr>
        <w:t>, thus, no intervention from professional advisors or academic services</w:t>
      </w:r>
      <w:r w:rsidR="00B83BCF" w:rsidRPr="00777073">
        <w:rPr>
          <w:rFonts w:ascii="Times New Roman" w:hAnsi="Times New Roman" w:cs="Times New Roman"/>
          <w:sz w:val="24"/>
          <w:szCs w:val="24"/>
        </w:rPr>
        <w:t>.</w:t>
      </w:r>
      <w:r w:rsidR="00455038" w:rsidRPr="00777073">
        <w:rPr>
          <w:rFonts w:ascii="Times New Roman" w:hAnsi="Times New Roman" w:cs="Times New Roman"/>
          <w:sz w:val="24"/>
          <w:szCs w:val="24"/>
        </w:rPr>
        <w:t xml:space="preserve">  </w:t>
      </w:r>
      <w:r w:rsidR="00455038" w:rsidRPr="00777073">
        <w:rPr>
          <w:rFonts w:ascii="Times New Roman" w:hAnsi="Times New Roman" w:cs="Times New Roman"/>
          <w:b/>
          <w:sz w:val="24"/>
          <w:szCs w:val="24"/>
        </w:rPr>
        <w:t>We need to increase communication and compliance around the importance of early alerts to faculty and instructional staff, particularly adjuncts.</w:t>
      </w:r>
    </w:p>
    <w:p w:rsidR="00B83BCF" w:rsidRPr="00777073" w:rsidRDefault="00B83BCF" w:rsidP="00B83BCF">
      <w:pPr>
        <w:rPr>
          <w:rFonts w:ascii="Times New Roman" w:hAnsi="Times New Roman" w:cs="Times New Roman"/>
          <w:sz w:val="24"/>
          <w:szCs w:val="24"/>
        </w:rPr>
      </w:pPr>
      <w:r w:rsidRPr="00777073">
        <w:rPr>
          <w:rFonts w:ascii="Times New Roman" w:hAnsi="Times New Roman" w:cs="Times New Roman"/>
          <w:sz w:val="24"/>
          <w:szCs w:val="24"/>
        </w:rPr>
        <w:t xml:space="preserve">Early alert data suggests that students are </w:t>
      </w:r>
      <w:r w:rsidR="007916F3" w:rsidRPr="00777073">
        <w:rPr>
          <w:rFonts w:ascii="Times New Roman" w:hAnsi="Times New Roman" w:cs="Times New Roman"/>
          <w:sz w:val="24"/>
          <w:szCs w:val="24"/>
        </w:rPr>
        <w:t>falling behind</w:t>
      </w:r>
      <w:r w:rsidRPr="00777073">
        <w:rPr>
          <w:rFonts w:ascii="Times New Roman" w:hAnsi="Times New Roman" w:cs="Times New Roman"/>
          <w:sz w:val="24"/>
          <w:szCs w:val="24"/>
        </w:rPr>
        <w:t xml:space="preserve"> because they </w:t>
      </w:r>
      <w:r w:rsidR="0065596D" w:rsidRPr="00777073">
        <w:rPr>
          <w:rFonts w:ascii="Times New Roman" w:hAnsi="Times New Roman" w:cs="Times New Roman"/>
          <w:sz w:val="24"/>
          <w:szCs w:val="24"/>
        </w:rPr>
        <w:t xml:space="preserve">are not </w:t>
      </w:r>
      <w:r w:rsidR="001D4889" w:rsidRPr="00777073">
        <w:rPr>
          <w:rFonts w:ascii="Times New Roman" w:hAnsi="Times New Roman" w:cs="Times New Roman"/>
          <w:sz w:val="24"/>
          <w:szCs w:val="24"/>
        </w:rPr>
        <w:t>completing homework assignments</w:t>
      </w:r>
      <w:r w:rsidR="007916F3" w:rsidRPr="00777073">
        <w:rPr>
          <w:rFonts w:ascii="Times New Roman" w:hAnsi="Times New Roman" w:cs="Times New Roman"/>
          <w:sz w:val="24"/>
          <w:szCs w:val="24"/>
        </w:rPr>
        <w:t>,</w:t>
      </w:r>
      <w:r w:rsidR="001D4889" w:rsidRPr="00777073">
        <w:rPr>
          <w:rFonts w:ascii="Times New Roman" w:hAnsi="Times New Roman" w:cs="Times New Roman"/>
          <w:sz w:val="24"/>
          <w:szCs w:val="24"/>
        </w:rPr>
        <w:t xml:space="preserve"> which would increase their chances of performing well on exams and quizzes</w:t>
      </w:r>
      <w:r w:rsidRPr="00777073">
        <w:rPr>
          <w:rFonts w:ascii="Times New Roman" w:hAnsi="Times New Roman" w:cs="Times New Roman"/>
          <w:sz w:val="24"/>
          <w:szCs w:val="24"/>
        </w:rPr>
        <w:t>. In response, we might experiment wit</w:t>
      </w:r>
      <w:r w:rsidR="001D4889" w:rsidRPr="00777073">
        <w:rPr>
          <w:rFonts w:ascii="Times New Roman" w:hAnsi="Times New Roman" w:cs="Times New Roman"/>
          <w:sz w:val="24"/>
          <w:szCs w:val="24"/>
        </w:rPr>
        <w:t xml:space="preserve">h strategies to improve self-guided learning experiences. Increasing tutoring and academic services resources that allow students to independently seek assistance may increase academic skills and decrease test anxiety and related barriers to academic success. </w:t>
      </w:r>
    </w:p>
    <w:p w:rsidR="001436F2" w:rsidRDefault="001436F2" w:rsidP="002426DF">
      <w:pPr>
        <w:pStyle w:val="NoSpacing"/>
        <w:rPr>
          <w:rFonts w:ascii="Times New Roman" w:hAnsi="Times New Roman" w:cs="Times New Roman"/>
          <w:b/>
          <w:sz w:val="24"/>
          <w:szCs w:val="24"/>
          <w:u w:val="single"/>
        </w:rPr>
      </w:pPr>
    </w:p>
    <w:p w:rsidR="001436F2" w:rsidRDefault="001436F2" w:rsidP="002426DF">
      <w:pPr>
        <w:pStyle w:val="NoSpacing"/>
        <w:rPr>
          <w:rFonts w:ascii="Times New Roman" w:hAnsi="Times New Roman" w:cs="Times New Roman"/>
          <w:b/>
          <w:sz w:val="24"/>
          <w:szCs w:val="24"/>
          <w:u w:val="single"/>
        </w:rPr>
      </w:pPr>
    </w:p>
    <w:p w:rsidR="00077D10" w:rsidRPr="00777073" w:rsidRDefault="007916F3" w:rsidP="002426DF">
      <w:pPr>
        <w:pStyle w:val="NoSpacing"/>
        <w:rPr>
          <w:rFonts w:ascii="Times New Roman" w:hAnsi="Times New Roman" w:cs="Times New Roman"/>
          <w:b/>
          <w:sz w:val="24"/>
          <w:szCs w:val="24"/>
          <w:u w:val="single"/>
        </w:rPr>
      </w:pPr>
      <w:r w:rsidRPr="00777073">
        <w:rPr>
          <w:rFonts w:ascii="Times New Roman" w:hAnsi="Times New Roman" w:cs="Times New Roman"/>
          <w:b/>
          <w:sz w:val="24"/>
          <w:szCs w:val="24"/>
          <w:u w:val="single"/>
        </w:rPr>
        <w:lastRenderedPageBreak/>
        <w:t>Tr</w:t>
      </w:r>
      <w:r w:rsidR="00077D10" w:rsidRPr="00777073">
        <w:rPr>
          <w:rFonts w:ascii="Times New Roman" w:hAnsi="Times New Roman" w:cs="Times New Roman"/>
          <w:b/>
          <w:sz w:val="24"/>
          <w:szCs w:val="24"/>
          <w:u w:val="single"/>
        </w:rPr>
        <w:t>iage Program Report</w:t>
      </w:r>
    </w:p>
    <w:p w:rsidR="00077D10" w:rsidRPr="00777073" w:rsidRDefault="00077D10" w:rsidP="00077D10">
      <w:pPr>
        <w:pStyle w:val="NoSpacing"/>
        <w:jc w:val="center"/>
        <w:rPr>
          <w:rFonts w:ascii="Times New Roman" w:hAnsi="Times New Roman" w:cs="Times New Roman"/>
          <w:sz w:val="24"/>
          <w:szCs w:val="24"/>
        </w:rPr>
      </w:pPr>
    </w:p>
    <w:p w:rsidR="00077D10" w:rsidRPr="00777073" w:rsidRDefault="00077D10" w:rsidP="00077D10">
      <w:pPr>
        <w:pStyle w:val="NoSpacing"/>
        <w:rPr>
          <w:rFonts w:ascii="Times New Roman" w:hAnsi="Times New Roman" w:cs="Times New Roman"/>
          <w:sz w:val="24"/>
          <w:szCs w:val="24"/>
        </w:rPr>
      </w:pPr>
      <w:r w:rsidRPr="00777073">
        <w:rPr>
          <w:rFonts w:ascii="Times New Roman" w:hAnsi="Times New Roman" w:cs="Times New Roman"/>
          <w:sz w:val="24"/>
          <w:szCs w:val="24"/>
        </w:rPr>
        <w:t xml:space="preserve">The Triage Program at Trinity Washington University assists students who have an emergency situation while enrolled in courses and </w:t>
      </w:r>
      <w:r w:rsidR="002426DF" w:rsidRPr="00777073">
        <w:rPr>
          <w:rFonts w:ascii="Times New Roman" w:hAnsi="Times New Roman" w:cs="Times New Roman"/>
          <w:sz w:val="24"/>
          <w:szCs w:val="24"/>
        </w:rPr>
        <w:t xml:space="preserve">who </w:t>
      </w:r>
      <w:r w:rsidRPr="00777073">
        <w:rPr>
          <w:rFonts w:ascii="Times New Roman" w:hAnsi="Times New Roman" w:cs="Times New Roman"/>
          <w:sz w:val="24"/>
          <w:szCs w:val="24"/>
        </w:rPr>
        <w:t xml:space="preserve">expect to be absent from classes for an extended period of time. The program assisted </w:t>
      </w:r>
      <w:r w:rsidR="005F028A" w:rsidRPr="00777073">
        <w:rPr>
          <w:rFonts w:ascii="Times New Roman" w:hAnsi="Times New Roman" w:cs="Times New Roman"/>
          <w:sz w:val="24"/>
          <w:szCs w:val="24"/>
        </w:rPr>
        <w:t xml:space="preserve">39 </w:t>
      </w:r>
      <w:r w:rsidRPr="00777073">
        <w:rPr>
          <w:rFonts w:ascii="Times New Roman" w:hAnsi="Times New Roman" w:cs="Times New Roman"/>
          <w:sz w:val="24"/>
          <w:szCs w:val="24"/>
        </w:rPr>
        <w:t>students during</w:t>
      </w:r>
      <w:r w:rsidR="005F028A" w:rsidRPr="00777073">
        <w:rPr>
          <w:rFonts w:ascii="Times New Roman" w:hAnsi="Times New Roman" w:cs="Times New Roman"/>
          <w:sz w:val="24"/>
          <w:szCs w:val="24"/>
        </w:rPr>
        <w:t xml:space="preserve"> Fall 2012</w:t>
      </w:r>
      <w:r w:rsidR="00990AFD" w:rsidRPr="00777073">
        <w:rPr>
          <w:rFonts w:ascii="Times New Roman" w:hAnsi="Times New Roman" w:cs="Times New Roman"/>
          <w:sz w:val="24"/>
          <w:szCs w:val="24"/>
        </w:rPr>
        <w:t xml:space="preserve"> (as compared to 47 in Fall 2011)</w:t>
      </w:r>
      <w:r w:rsidRPr="00777073">
        <w:rPr>
          <w:rFonts w:ascii="Times New Roman" w:hAnsi="Times New Roman" w:cs="Times New Roman"/>
          <w:sz w:val="24"/>
          <w:szCs w:val="24"/>
        </w:rPr>
        <w:t xml:space="preserve">. Students were referred to the Triage program through faculty, staff, the </w:t>
      </w:r>
      <w:r w:rsidR="0032324D" w:rsidRPr="00777073">
        <w:rPr>
          <w:rFonts w:ascii="Times New Roman" w:hAnsi="Times New Roman" w:cs="Times New Roman"/>
          <w:sz w:val="24"/>
          <w:szCs w:val="24"/>
        </w:rPr>
        <w:t xml:space="preserve">Health and Wellness center, </w:t>
      </w:r>
      <w:r w:rsidRPr="00777073">
        <w:rPr>
          <w:rFonts w:ascii="Times New Roman" w:hAnsi="Times New Roman" w:cs="Times New Roman"/>
          <w:sz w:val="24"/>
          <w:szCs w:val="24"/>
        </w:rPr>
        <w:t>online</w:t>
      </w:r>
      <w:r w:rsidR="0032324D" w:rsidRPr="00777073">
        <w:rPr>
          <w:rFonts w:ascii="Times New Roman" w:hAnsi="Times New Roman" w:cs="Times New Roman"/>
          <w:sz w:val="24"/>
          <w:szCs w:val="24"/>
        </w:rPr>
        <w:t>, and by self-referral</w:t>
      </w:r>
      <w:r w:rsidRPr="00777073">
        <w:rPr>
          <w:rFonts w:ascii="Times New Roman" w:hAnsi="Times New Roman" w:cs="Times New Roman"/>
          <w:sz w:val="24"/>
          <w:szCs w:val="24"/>
        </w:rPr>
        <w:t xml:space="preserve">. </w:t>
      </w:r>
    </w:p>
    <w:p w:rsidR="00077D10" w:rsidRPr="00777073" w:rsidRDefault="00077D10" w:rsidP="00077D10">
      <w:pPr>
        <w:pStyle w:val="NoSpacing"/>
        <w:rPr>
          <w:rFonts w:ascii="Times New Roman" w:hAnsi="Times New Roman" w:cs="Times New Roman"/>
          <w:sz w:val="24"/>
          <w:szCs w:val="24"/>
        </w:rPr>
      </w:pPr>
    </w:p>
    <w:p w:rsidR="00077D10" w:rsidRPr="00777073" w:rsidRDefault="00077D10" w:rsidP="00077D10">
      <w:pPr>
        <w:pStyle w:val="NoSpacing"/>
        <w:rPr>
          <w:rFonts w:ascii="Times New Roman" w:hAnsi="Times New Roman" w:cs="Times New Roman"/>
          <w:sz w:val="24"/>
          <w:szCs w:val="24"/>
        </w:rPr>
      </w:pPr>
      <w:r w:rsidRPr="00777073">
        <w:rPr>
          <w:rFonts w:ascii="Times New Roman" w:hAnsi="Times New Roman" w:cs="Times New Roman"/>
          <w:sz w:val="24"/>
          <w:szCs w:val="24"/>
        </w:rPr>
        <w:t xml:space="preserve">Triage services are classified into </w:t>
      </w:r>
      <w:r w:rsidR="002426DF" w:rsidRPr="00777073">
        <w:rPr>
          <w:rFonts w:ascii="Times New Roman" w:hAnsi="Times New Roman" w:cs="Times New Roman"/>
          <w:sz w:val="24"/>
          <w:szCs w:val="24"/>
        </w:rPr>
        <w:t>four</w:t>
      </w:r>
      <w:r w:rsidRPr="00777073">
        <w:rPr>
          <w:rFonts w:ascii="Times New Roman" w:hAnsi="Times New Roman" w:cs="Times New Roman"/>
          <w:sz w:val="24"/>
          <w:szCs w:val="24"/>
        </w:rPr>
        <w:t xml:space="preserve"> categories: </w:t>
      </w:r>
    </w:p>
    <w:p w:rsidR="00077D10" w:rsidRPr="00777073" w:rsidRDefault="00077D10" w:rsidP="00077D10">
      <w:pPr>
        <w:pStyle w:val="NoSpacing"/>
        <w:rPr>
          <w:rFonts w:ascii="Times New Roman" w:hAnsi="Times New Roman" w:cs="Times New Roman"/>
          <w:sz w:val="24"/>
          <w:szCs w:val="24"/>
        </w:rPr>
      </w:pPr>
    </w:p>
    <w:p w:rsidR="00077D10" w:rsidRPr="00777073" w:rsidRDefault="00077D10" w:rsidP="00077D10">
      <w:pPr>
        <w:pStyle w:val="NoSpacing"/>
        <w:numPr>
          <w:ilvl w:val="0"/>
          <w:numId w:val="6"/>
        </w:numPr>
        <w:rPr>
          <w:rFonts w:ascii="Times New Roman" w:hAnsi="Times New Roman" w:cs="Times New Roman"/>
          <w:color w:val="FF0000"/>
          <w:sz w:val="24"/>
          <w:szCs w:val="24"/>
        </w:rPr>
      </w:pPr>
      <w:r w:rsidRPr="00777073">
        <w:rPr>
          <w:rFonts w:ascii="Times New Roman" w:hAnsi="Times New Roman" w:cs="Times New Roman"/>
          <w:b/>
          <w:sz w:val="24"/>
          <w:szCs w:val="24"/>
        </w:rPr>
        <w:t>Medical Emergency:</w:t>
      </w:r>
      <w:r w:rsidRPr="00777073">
        <w:rPr>
          <w:rFonts w:ascii="Times New Roman" w:hAnsi="Times New Roman" w:cs="Times New Roman"/>
          <w:sz w:val="24"/>
          <w:szCs w:val="24"/>
        </w:rPr>
        <w:t xml:space="preserve"> This category includes absences resulting from physical or emotional health issues.</w:t>
      </w:r>
    </w:p>
    <w:p w:rsidR="00077D10" w:rsidRPr="00777073" w:rsidRDefault="00077D10" w:rsidP="00077D10">
      <w:pPr>
        <w:pStyle w:val="NoSpacing"/>
        <w:numPr>
          <w:ilvl w:val="0"/>
          <w:numId w:val="6"/>
        </w:numPr>
        <w:rPr>
          <w:rFonts w:ascii="Times New Roman" w:hAnsi="Times New Roman" w:cs="Times New Roman"/>
          <w:color w:val="FF0000"/>
          <w:sz w:val="24"/>
          <w:szCs w:val="24"/>
        </w:rPr>
      </w:pPr>
      <w:r w:rsidRPr="00777073">
        <w:rPr>
          <w:rFonts w:ascii="Times New Roman" w:hAnsi="Times New Roman" w:cs="Times New Roman"/>
          <w:b/>
          <w:sz w:val="24"/>
          <w:szCs w:val="24"/>
        </w:rPr>
        <w:t>Family Emergency</w:t>
      </w:r>
      <w:r w:rsidRPr="00777073">
        <w:rPr>
          <w:rFonts w:ascii="Times New Roman" w:hAnsi="Times New Roman" w:cs="Times New Roman"/>
          <w:sz w:val="24"/>
          <w:szCs w:val="24"/>
        </w:rPr>
        <w:t xml:space="preserve">: This category involves family illness which may result in the student caring for family members or attending funerals. Family issues include emergencies which require the student to assist family members. </w:t>
      </w:r>
    </w:p>
    <w:p w:rsidR="00077D10" w:rsidRPr="00777073" w:rsidRDefault="00077D10" w:rsidP="00077D10">
      <w:pPr>
        <w:pStyle w:val="NoSpacing"/>
        <w:numPr>
          <w:ilvl w:val="0"/>
          <w:numId w:val="6"/>
        </w:numPr>
        <w:rPr>
          <w:rFonts w:ascii="Times New Roman" w:hAnsi="Times New Roman" w:cs="Times New Roman"/>
          <w:color w:val="FF0000"/>
          <w:sz w:val="24"/>
          <w:szCs w:val="24"/>
        </w:rPr>
      </w:pPr>
      <w:r w:rsidRPr="00777073">
        <w:rPr>
          <w:rFonts w:ascii="Times New Roman" w:hAnsi="Times New Roman" w:cs="Times New Roman"/>
          <w:b/>
          <w:sz w:val="24"/>
          <w:szCs w:val="24"/>
        </w:rPr>
        <w:t>Other Emergency</w:t>
      </w:r>
      <w:r w:rsidRPr="00777073">
        <w:rPr>
          <w:rFonts w:ascii="Times New Roman" w:hAnsi="Times New Roman" w:cs="Times New Roman"/>
          <w:color w:val="FF0000"/>
          <w:sz w:val="24"/>
          <w:szCs w:val="24"/>
        </w:rPr>
        <w:t xml:space="preserve">: </w:t>
      </w:r>
      <w:r w:rsidRPr="00777073">
        <w:rPr>
          <w:rFonts w:ascii="Times New Roman" w:hAnsi="Times New Roman" w:cs="Times New Roman"/>
          <w:sz w:val="24"/>
          <w:szCs w:val="24"/>
        </w:rPr>
        <w:t>This category involves students with a combination of family and medical emergencies.</w:t>
      </w:r>
    </w:p>
    <w:p w:rsidR="00077D10" w:rsidRPr="00777073" w:rsidRDefault="00077D10" w:rsidP="00077D10">
      <w:pPr>
        <w:pStyle w:val="NoSpacing"/>
        <w:numPr>
          <w:ilvl w:val="0"/>
          <w:numId w:val="6"/>
        </w:numPr>
        <w:rPr>
          <w:rFonts w:ascii="Times New Roman" w:hAnsi="Times New Roman" w:cs="Times New Roman"/>
          <w:sz w:val="24"/>
          <w:szCs w:val="24"/>
        </w:rPr>
      </w:pPr>
      <w:r w:rsidRPr="00777073">
        <w:rPr>
          <w:rFonts w:ascii="Times New Roman" w:hAnsi="Times New Roman" w:cs="Times New Roman"/>
          <w:b/>
          <w:sz w:val="24"/>
          <w:szCs w:val="24"/>
        </w:rPr>
        <w:t>Personal Emergency</w:t>
      </w:r>
      <w:r w:rsidRPr="00777073">
        <w:rPr>
          <w:rFonts w:ascii="Times New Roman" w:hAnsi="Times New Roman" w:cs="Times New Roman"/>
          <w:sz w:val="24"/>
          <w:szCs w:val="24"/>
        </w:rPr>
        <w:t xml:space="preserve">: This category involves personal situations in which the student is unable to attend classes. </w:t>
      </w:r>
    </w:p>
    <w:p w:rsidR="00077D10" w:rsidRPr="00777073" w:rsidRDefault="00077D10" w:rsidP="00077D10">
      <w:pPr>
        <w:pStyle w:val="NoSpacing"/>
        <w:rPr>
          <w:rFonts w:ascii="Times New Roman" w:hAnsi="Times New Roman" w:cs="Times New Roman"/>
          <w:b/>
          <w:sz w:val="24"/>
          <w:szCs w:val="24"/>
        </w:rPr>
      </w:pPr>
    </w:p>
    <w:p w:rsidR="00077D10" w:rsidRPr="00777073" w:rsidRDefault="002426DF" w:rsidP="00077D10">
      <w:pPr>
        <w:pStyle w:val="NoSpacing"/>
        <w:rPr>
          <w:rFonts w:ascii="Times New Roman" w:hAnsi="Times New Roman" w:cs="Times New Roman"/>
          <w:sz w:val="24"/>
          <w:szCs w:val="24"/>
        </w:rPr>
      </w:pPr>
      <w:r w:rsidRPr="00777073">
        <w:rPr>
          <w:rFonts w:ascii="Times New Roman" w:hAnsi="Times New Roman" w:cs="Times New Roman"/>
          <w:sz w:val="24"/>
          <w:szCs w:val="24"/>
        </w:rPr>
        <w:t>Program Case Points of Interest:</w:t>
      </w:r>
    </w:p>
    <w:p w:rsidR="00077D10" w:rsidRPr="00777073" w:rsidRDefault="00077D10" w:rsidP="00077D10">
      <w:pPr>
        <w:pStyle w:val="NoSpacing"/>
        <w:rPr>
          <w:rFonts w:ascii="Times New Roman" w:hAnsi="Times New Roman" w:cs="Times New Roman"/>
          <w:i/>
          <w:sz w:val="24"/>
          <w:szCs w:val="24"/>
        </w:rPr>
      </w:pPr>
    </w:p>
    <w:p w:rsidR="00077D10" w:rsidRPr="00777073" w:rsidRDefault="00D35207" w:rsidP="00077D10">
      <w:pPr>
        <w:pStyle w:val="NoSpacing"/>
        <w:rPr>
          <w:rFonts w:ascii="Times New Roman" w:hAnsi="Times New Roman" w:cs="Times New Roman"/>
          <w:b/>
          <w:sz w:val="24"/>
          <w:szCs w:val="24"/>
        </w:rPr>
      </w:pPr>
      <w:r w:rsidRPr="00777073">
        <w:rPr>
          <w:rFonts w:ascii="Times New Roman" w:hAnsi="Times New Roman" w:cs="Times New Roman"/>
          <w:b/>
          <w:sz w:val="24"/>
          <w:szCs w:val="24"/>
        </w:rPr>
        <w:t xml:space="preserve"> </w:t>
      </w:r>
      <w:r w:rsidR="000145BA" w:rsidRPr="00777073">
        <w:rPr>
          <w:rFonts w:ascii="Times New Roman" w:hAnsi="Times New Roman" w:cs="Times New Roman"/>
          <w:b/>
          <w:sz w:val="24"/>
          <w:szCs w:val="24"/>
        </w:rPr>
        <w:t>Fifty-four percent</w:t>
      </w:r>
      <w:r w:rsidR="00077D10" w:rsidRPr="00777073">
        <w:rPr>
          <w:rFonts w:ascii="Times New Roman" w:hAnsi="Times New Roman" w:cs="Times New Roman"/>
          <w:b/>
          <w:sz w:val="24"/>
          <w:szCs w:val="24"/>
        </w:rPr>
        <w:t xml:space="preserve"> of the Triage cases handled were </w:t>
      </w:r>
      <w:r w:rsidR="00D05FB0" w:rsidRPr="00777073">
        <w:rPr>
          <w:rFonts w:ascii="Times New Roman" w:hAnsi="Times New Roman" w:cs="Times New Roman"/>
          <w:b/>
          <w:sz w:val="24"/>
          <w:szCs w:val="24"/>
        </w:rPr>
        <w:t>due to medical emergencies</w:t>
      </w:r>
      <w:r w:rsidR="00E84FE5" w:rsidRPr="00777073">
        <w:rPr>
          <w:rFonts w:ascii="Times New Roman" w:hAnsi="Times New Roman" w:cs="Times New Roman"/>
          <w:b/>
          <w:sz w:val="24"/>
          <w:szCs w:val="24"/>
        </w:rPr>
        <w:t xml:space="preserve">.  Of these, a total of </w:t>
      </w:r>
      <w:r w:rsidR="00D05FB0" w:rsidRPr="00777073">
        <w:rPr>
          <w:rFonts w:ascii="Times New Roman" w:hAnsi="Times New Roman" w:cs="Times New Roman"/>
          <w:b/>
          <w:sz w:val="24"/>
          <w:szCs w:val="24"/>
        </w:rPr>
        <w:t xml:space="preserve">9 students were hospitalized as a result of their condition. </w:t>
      </w:r>
    </w:p>
    <w:p w:rsidR="00077D10" w:rsidRPr="00777073" w:rsidRDefault="00077D10" w:rsidP="00077D10">
      <w:pPr>
        <w:pStyle w:val="NoSpacing"/>
        <w:rPr>
          <w:rFonts w:ascii="Times New Roman" w:hAnsi="Times New Roman" w:cs="Times New Roman"/>
          <w:b/>
          <w:sz w:val="24"/>
          <w:szCs w:val="24"/>
          <w:highlight w:val="yellow"/>
        </w:rPr>
      </w:pPr>
    </w:p>
    <w:p w:rsidR="00077D10" w:rsidRPr="00777073" w:rsidRDefault="000145BA" w:rsidP="00077D10">
      <w:pPr>
        <w:pStyle w:val="NoSpacing"/>
        <w:rPr>
          <w:rFonts w:ascii="Times New Roman" w:hAnsi="Times New Roman" w:cs="Times New Roman"/>
          <w:b/>
          <w:sz w:val="24"/>
          <w:szCs w:val="24"/>
        </w:rPr>
      </w:pPr>
      <w:r w:rsidRPr="00777073">
        <w:rPr>
          <w:rFonts w:ascii="Times New Roman" w:hAnsi="Times New Roman" w:cs="Times New Roman"/>
          <w:b/>
          <w:sz w:val="24"/>
          <w:szCs w:val="24"/>
        </w:rPr>
        <w:t xml:space="preserve">Thirty-three percent of </w:t>
      </w:r>
      <w:r w:rsidR="00077D10" w:rsidRPr="00777073">
        <w:rPr>
          <w:rFonts w:ascii="Times New Roman" w:hAnsi="Times New Roman" w:cs="Times New Roman"/>
          <w:b/>
          <w:sz w:val="24"/>
          <w:szCs w:val="24"/>
        </w:rPr>
        <w:t>students registered in the Triage program were placed on Academic Watch, Probation 1, or Probation 2.</w:t>
      </w:r>
    </w:p>
    <w:p w:rsidR="000145BA" w:rsidRPr="00777073" w:rsidRDefault="000145BA" w:rsidP="00077D10">
      <w:pPr>
        <w:pStyle w:val="NoSpacing"/>
        <w:rPr>
          <w:rFonts w:ascii="Times New Roman" w:hAnsi="Times New Roman" w:cs="Times New Roman"/>
          <w:b/>
          <w:sz w:val="24"/>
          <w:szCs w:val="24"/>
        </w:rPr>
      </w:pPr>
    </w:p>
    <w:p w:rsidR="000145BA" w:rsidRPr="00777073" w:rsidRDefault="000145BA" w:rsidP="000145BA">
      <w:pPr>
        <w:pStyle w:val="NoSpacing"/>
        <w:rPr>
          <w:rFonts w:ascii="Times New Roman" w:hAnsi="Times New Roman" w:cs="Times New Roman"/>
          <w:sz w:val="24"/>
          <w:szCs w:val="24"/>
        </w:rPr>
      </w:pPr>
      <w:r w:rsidRPr="00777073">
        <w:rPr>
          <w:rFonts w:ascii="Times New Roman" w:hAnsi="Times New Roman" w:cs="Times New Roman"/>
          <w:sz w:val="24"/>
          <w:szCs w:val="24"/>
        </w:rPr>
        <w:t xml:space="preserve">Chart 1:  Reasons for requesting Triage services in Fall 2012 </w:t>
      </w:r>
    </w:p>
    <w:p w:rsidR="000145BA" w:rsidRPr="00777073" w:rsidRDefault="000145BA" w:rsidP="000145BA">
      <w:pPr>
        <w:pStyle w:val="NoSpacing"/>
        <w:rPr>
          <w:rFonts w:ascii="Times New Roman" w:hAnsi="Times New Roman" w:cs="Times New Roman"/>
          <w:sz w:val="24"/>
          <w:szCs w:val="24"/>
        </w:rPr>
      </w:pPr>
      <w:r w:rsidRPr="00777073">
        <w:rPr>
          <w:rFonts w:ascii="Times New Roman" w:hAnsi="Times New Roman" w:cs="Times New Roman"/>
          <w:noProof/>
          <w:sz w:val="24"/>
          <w:szCs w:val="24"/>
        </w:rPr>
        <w:drawing>
          <wp:inline distT="0" distB="0" distL="0" distR="0">
            <wp:extent cx="2676525" cy="16764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45BA" w:rsidRPr="00777073" w:rsidRDefault="000145BA" w:rsidP="000145BA">
      <w:pPr>
        <w:pStyle w:val="NoSpacing"/>
        <w:rPr>
          <w:rFonts w:ascii="Times New Roman" w:hAnsi="Times New Roman" w:cs="Times New Roman"/>
          <w:sz w:val="24"/>
          <w:szCs w:val="24"/>
        </w:rPr>
      </w:pPr>
    </w:p>
    <w:p w:rsidR="000145BA" w:rsidRPr="00777073" w:rsidRDefault="000145BA" w:rsidP="000145BA">
      <w:pPr>
        <w:pStyle w:val="NoSpacing"/>
        <w:rPr>
          <w:rFonts w:ascii="Times New Roman" w:hAnsi="Times New Roman" w:cs="Times New Roman"/>
          <w:i/>
          <w:sz w:val="24"/>
          <w:szCs w:val="24"/>
        </w:rPr>
      </w:pPr>
      <w:r w:rsidRPr="00777073">
        <w:rPr>
          <w:rFonts w:ascii="Times New Roman" w:hAnsi="Times New Roman" w:cs="Times New Roman"/>
          <w:i/>
          <w:sz w:val="24"/>
          <w:szCs w:val="24"/>
        </w:rPr>
        <w:t xml:space="preserve">54% Medical Emergency  </w:t>
      </w:r>
    </w:p>
    <w:p w:rsidR="000145BA" w:rsidRPr="00777073" w:rsidRDefault="000145BA" w:rsidP="000145BA">
      <w:pPr>
        <w:pStyle w:val="NoSpacing"/>
        <w:rPr>
          <w:rFonts w:ascii="Times New Roman" w:hAnsi="Times New Roman" w:cs="Times New Roman"/>
          <w:i/>
          <w:sz w:val="24"/>
          <w:szCs w:val="24"/>
        </w:rPr>
      </w:pPr>
      <w:r w:rsidRPr="00777073">
        <w:rPr>
          <w:rFonts w:ascii="Times New Roman" w:hAnsi="Times New Roman" w:cs="Times New Roman"/>
          <w:i/>
          <w:sz w:val="24"/>
          <w:szCs w:val="24"/>
        </w:rPr>
        <w:t>26% Family Emergency (Caring for family member or death in family)</w:t>
      </w:r>
    </w:p>
    <w:p w:rsidR="000145BA" w:rsidRPr="00777073" w:rsidRDefault="000145BA" w:rsidP="000145BA">
      <w:pPr>
        <w:pStyle w:val="NoSpacing"/>
        <w:rPr>
          <w:rFonts w:ascii="Times New Roman" w:hAnsi="Times New Roman" w:cs="Times New Roman"/>
          <w:i/>
          <w:sz w:val="24"/>
          <w:szCs w:val="24"/>
        </w:rPr>
      </w:pPr>
      <w:r w:rsidRPr="00777073">
        <w:rPr>
          <w:rFonts w:ascii="Times New Roman" w:hAnsi="Times New Roman" w:cs="Times New Roman"/>
          <w:i/>
          <w:sz w:val="24"/>
          <w:szCs w:val="24"/>
        </w:rPr>
        <w:t>2% Other (combination of family and medical)</w:t>
      </w:r>
    </w:p>
    <w:p w:rsidR="000145BA" w:rsidRPr="00777073" w:rsidRDefault="000145BA" w:rsidP="000145BA">
      <w:pPr>
        <w:pStyle w:val="NoSpacing"/>
        <w:rPr>
          <w:rFonts w:ascii="Times New Roman" w:hAnsi="Times New Roman" w:cs="Times New Roman"/>
          <w:i/>
          <w:sz w:val="24"/>
          <w:szCs w:val="24"/>
        </w:rPr>
      </w:pPr>
      <w:r w:rsidRPr="00777073">
        <w:rPr>
          <w:rFonts w:ascii="Times New Roman" w:hAnsi="Times New Roman" w:cs="Times New Roman"/>
          <w:i/>
          <w:sz w:val="24"/>
          <w:szCs w:val="24"/>
        </w:rPr>
        <w:t>18% Personal Emergency</w:t>
      </w:r>
    </w:p>
    <w:p w:rsidR="000145BA" w:rsidRPr="00777073" w:rsidRDefault="000145BA" w:rsidP="000145BA">
      <w:pPr>
        <w:pStyle w:val="NoSpacing"/>
        <w:rPr>
          <w:rFonts w:ascii="Times New Roman" w:hAnsi="Times New Roman" w:cs="Times New Roman"/>
          <w:b/>
          <w:sz w:val="24"/>
          <w:szCs w:val="24"/>
          <w:u w:val="single"/>
        </w:rPr>
      </w:pPr>
    </w:p>
    <w:p w:rsidR="000145BA" w:rsidRPr="00777073" w:rsidRDefault="000145BA" w:rsidP="00077D10">
      <w:pPr>
        <w:pStyle w:val="NoSpacing"/>
        <w:rPr>
          <w:rFonts w:ascii="Times New Roman" w:hAnsi="Times New Roman" w:cs="Times New Roman"/>
          <w:b/>
          <w:sz w:val="24"/>
          <w:szCs w:val="24"/>
        </w:rPr>
      </w:pPr>
    </w:p>
    <w:p w:rsidR="000145BA" w:rsidRPr="00777073" w:rsidRDefault="000145BA" w:rsidP="00077D10">
      <w:pPr>
        <w:pStyle w:val="NoSpacing"/>
        <w:rPr>
          <w:rFonts w:ascii="Times New Roman" w:hAnsi="Times New Roman" w:cs="Times New Roman"/>
          <w:sz w:val="24"/>
          <w:szCs w:val="24"/>
        </w:rPr>
      </w:pPr>
    </w:p>
    <w:p w:rsidR="00077D10" w:rsidRPr="00777073" w:rsidRDefault="00077D10" w:rsidP="00077D10">
      <w:pPr>
        <w:pStyle w:val="NoSpacing"/>
        <w:rPr>
          <w:rFonts w:ascii="Times New Roman" w:hAnsi="Times New Roman" w:cs="Times New Roman"/>
          <w:b/>
          <w:sz w:val="24"/>
          <w:szCs w:val="24"/>
          <w:u w:val="single"/>
        </w:rPr>
      </w:pPr>
      <w:r w:rsidRPr="00777073">
        <w:rPr>
          <w:rFonts w:ascii="Times New Roman" w:hAnsi="Times New Roman" w:cs="Times New Roman"/>
          <w:b/>
          <w:sz w:val="24"/>
          <w:szCs w:val="24"/>
          <w:u w:val="single"/>
        </w:rPr>
        <w:lastRenderedPageBreak/>
        <w:t>New Program Initiatives</w:t>
      </w:r>
    </w:p>
    <w:p w:rsidR="002426DF" w:rsidRPr="00777073" w:rsidRDefault="002426DF" w:rsidP="00077D10">
      <w:pPr>
        <w:pStyle w:val="NoSpacing"/>
        <w:rPr>
          <w:rFonts w:ascii="Times New Roman" w:hAnsi="Times New Roman" w:cs="Times New Roman"/>
          <w:b/>
          <w:sz w:val="24"/>
          <w:szCs w:val="24"/>
        </w:rPr>
      </w:pPr>
    </w:p>
    <w:p w:rsidR="006E7D40" w:rsidRPr="00777073" w:rsidRDefault="00077D10" w:rsidP="00077D10">
      <w:pPr>
        <w:pStyle w:val="NoSpacing"/>
        <w:rPr>
          <w:rFonts w:ascii="Times New Roman" w:hAnsi="Times New Roman" w:cs="Times New Roman"/>
          <w:sz w:val="24"/>
          <w:szCs w:val="24"/>
        </w:rPr>
      </w:pPr>
      <w:r w:rsidRPr="00777073">
        <w:rPr>
          <w:rFonts w:ascii="Times New Roman" w:hAnsi="Times New Roman" w:cs="Times New Roman"/>
          <w:sz w:val="24"/>
          <w:szCs w:val="24"/>
        </w:rPr>
        <w:t xml:space="preserve">This year the Triage program </w:t>
      </w:r>
      <w:r w:rsidR="000145BA" w:rsidRPr="00777073">
        <w:rPr>
          <w:rFonts w:ascii="Times New Roman" w:hAnsi="Times New Roman" w:cs="Times New Roman"/>
          <w:sz w:val="24"/>
          <w:szCs w:val="24"/>
        </w:rPr>
        <w:t>solidified new</w:t>
      </w:r>
      <w:r w:rsidRPr="00777073">
        <w:rPr>
          <w:rFonts w:ascii="Times New Roman" w:hAnsi="Times New Roman" w:cs="Times New Roman"/>
          <w:sz w:val="24"/>
          <w:szCs w:val="24"/>
        </w:rPr>
        <w:t xml:space="preserve"> connections </w:t>
      </w:r>
      <w:r w:rsidR="000145BA" w:rsidRPr="00777073">
        <w:rPr>
          <w:rFonts w:ascii="Times New Roman" w:hAnsi="Times New Roman" w:cs="Times New Roman"/>
          <w:sz w:val="24"/>
          <w:szCs w:val="24"/>
        </w:rPr>
        <w:t xml:space="preserve">and outreach </w:t>
      </w:r>
      <w:r w:rsidRPr="00777073">
        <w:rPr>
          <w:rFonts w:ascii="Times New Roman" w:hAnsi="Times New Roman" w:cs="Times New Roman"/>
          <w:sz w:val="24"/>
          <w:szCs w:val="24"/>
        </w:rPr>
        <w:t xml:space="preserve">with other campus departments. By connecting students with Health &amp; Wellness, we were able to </w:t>
      </w:r>
      <w:r w:rsidR="000145BA" w:rsidRPr="00777073">
        <w:rPr>
          <w:rFonts w:ascii="Times New Roman" w:hAnsi="Times New Roman" w:cs="Times New Roman"/>
          <w:sz w:val="24"/>
          <w:szCs w:val="24"/>
        </w:rPr>
        <w:t>gather detailed information</w:t>
      </w:r>
      <w:r w:rsidRPr="00777073">
        <w:rPr>
          <w:rFonts w:ascii="Times New Roman" w:hAnsi="Times New Roman" w:cs="Times New Roman"/>
          <w:sz w:val="24"/>
          <w:szCs w:val="24"/>
        </w:rPr>
        <w:t xml:space="preserve"> to better assist </w:t>
      </w:r>
      <w:r w:rsidR="000145BA" w:rsidRPr="00777073">
        <w:rPr>
          <w:rFonts w:ascii="Times New Roman" w:hAnsi="Times New Roman" w:cs="Times New Roman"/>
          <w:sz w:val="24"/>
          <w:szCs w:val="24"/>
        </w:rPr>
        <w:t>students</w:t>
      </w:r>
      <w:r w:rsidRPr="00777073">
        <w:rPr>
          <w:rFonts w:ascii="Times New Roman" w:hAnsi="Times New Roman" w:cs="Times New Roman"/>
          <w:sz w:val="24"/>
          <w:szCs w:val="24"/>
        </w:rPr>
        <w:t xml:space="preserve"> with academic decisions and </w:t>
      </w:r>
      <w:r w:rsidR="000145BA" w:rsidRPr="00777073">
        <w:rPr>
          <w:rFonts w:ascii="Times New Roman" w:hAnsi="Times New Roman" w:cs="Times New Roman"/>
          <w:sz w:val="24"/>
          <w:szCs w:val="24"/>
        </w:rPr>
        <w:t xml:space="preserve">to </w:t>
      </w:r>
      <w:r w:rsidRPr="00777073">
        <w:rPr>
          <w:rFonts w:ascii="Times New Roman" w:hAnsi="Times New Roman" w:cs="Times New Roman"/>
          <w:sz w:val="24"/>
          <w:szCs w:val="24"/>
        </w:rPr>
        <w:t xml:space="preserve">provide support to students with chronic and serious conditions. We were also better informed as to the status of students upon their return to campus. </w:t>
      </w:r>
    </w:p>
    <w:p w:rsidR="006E7D40" w:rsidRPr="00777073" w:rsidRDefault="006E7D40" w:rsidP="00077D10">
      <w:pPr>
        <w:pStyle w:val="NoSpacing"/>
        <w:rPr>
          <w:rFonts w:ascii="Times New Roman" w:hAnsi="Times New Roman" w:cs="Times New Roman"/>
          <w:b/>
          <w:sz w:val="24"/>
          <w:szCs w:val="24"/>
          <w:u w:val="single"/>
        </w:rPr>
      </w:pPr>
    </w:p>
    <w:p w:rsidR="00077D10" w:rsidRPr="00777073" w:rsidRDefault="00077D10" w:rsidP="00077D10">
      <w:pPr>
        <w:pStyle w:val="NoSpacing"/>
        <w:rPr>
          <w:rFonts w:ascii="Times New Roman" w:hAnsi="Times New Roman" w:cs="Times New Roman"/>
          <w:b/>
          <w:sz w:val="24"/>
          <w:szCs w:val="24"/>
          <w:u w:val="single"/>
        </w:rPr>
      </w:pPr>
      <w:r w:rsidRPr="00777073">
        <w:rPr>
          <w:rFonts w:ascii="Times New Roman" w:hAnsi="Times New Roman" w:cs="Times New Roman"/>
          <w:b/>
          <w:sz w:val="24"/>
          <w:szCs w:val="24"/>
          <w:u w:val="single"/>
        </w:rPr>
        <w:t>Program Issues</w:t>
      </w:r>
    </w:p>
    <w:p w:rsidR="000145BA" w:rsidRPr="00777073" w:rsidRDefault="000145BA" w:rsidP="00077D10">
      <w:pPr>
        <w:pStyle w:val="NoSpacing"/>
        <w:rPr>
          <w:rFonts w:ascii="Times New Roman" w:hAnsi="Times New Roman" w:cs="Times New Roman"/>
          <w:b/>
          <w:sz w:val="24"/>
          <w:szCs w:val="24"/>
          <w:u w:val="single"/>
        </w:rPr>
      </w:pPr>
    </w:p>
    <w:p w:rsidR="00077D10" w:rsidRPr="00777073" w:rsidRDefault="00077D10" w:rsidP="000145BA">
      <w:pPr>
        <w:pStyle w:val="NoSpacing"/>
        <w:rPr>
          <w:rFonts w:ascii="Times New Roman" w:hAnsi="Times New Roman" w:cs="Times New Roman"/>
          <w:sz w:val="24"/>
          <w:szCs w:val="24"/>
        </w:rPr>
      </w:pPr>
      <w:r w:rsidRPr="00777073">
        <w:rPr>
          <w:rFonts w:ascii="Times New Roman" w:hAnsi="Times New Roman" w:cs="Times New Roman"/>
          <w:sz w:val="24"/>
          <w:szCs w:val="24"/>
        </w:rPr>
        <w:t xml:space="preserve">The Triage program experienced </w:t>
      </w:r>
      <w:r w:rsidR="00E94AC1" w:rsidRPr="00777073">
        <w:rPr>
          <w:rFonts w:ascii="Times New Roman" w:hAnsi="Times New Roman" w:cs="Times New Roman"/>
          <w:sz w:val="24"/>
          <w:szCs w:val="24"/>
        </w:rPr>
        <w:t>an increase in the number of students who requested access for non-emergency related issues.</w:t>
      </w:r>
      <w:r w:rsidRPr="00777073">
        <w:rPr>
          <w:rFonts w:ascii="Times New Roman" w:hAnsi="Times New Roman" w:cs="Times New Roman"/>
          <w:sz w:val="24"/>
          <w:szCs w:val="24"/>
        </w:rPr>
        <w:t xml:space="preserve"> Faculty referrals were sometimes problematic. Triage is a voluntary support service, and although professors were well-intentioned, some students </w:t>
      </w:r>
      <w:r w:rsidR="000145BA" w:rsidRPr="00777073">
        <w:rPr>
          <w:rFonts w:ascii="Times New Roman" w:hAnsi="Times New Roman" w:cs="Times New Roman"/>
          <w:sz w:val="24"/>
          <w:szCs w:val="24"/>
        </w:rPr>
        <w:t xml:space="preserve">reported feeling </w:t>
      </w:r>
      <w:r w:rsidRPr="00777073">
        <w:rPr>
          <w:rFonts w:ascii="Times New Roman" w:hAnsi="Times New Roman" w:cs="Times New Roman"/>
          <w:sz w:val="24"/>
          <w:szCs w:val="24"/>
        </w:rPr>
        <w:t>pressured into registering with the Triage program</w:t>
      </w:r>
      <w:r w:rsidR="00E94AC1" w:rsidRPr="00777073">
        <w:rPr>
          <w:rFonts w:ascii="Times New Roman" w:hAnsi="Times New Roman" w:cs="Times New Roman"/>
          <w:sz w:val="24"/>
          <w:szCs w:val="24"/>
        </w:rPr>
        <w:t xml:space="preserve"> in order to receive extensions on assignments</w:t>
      </w:r>
      <w:r w:rsidRPr="00777073">
        <w:rPr>
          <w:rFonts w:ascii="Times New Roman" w:hAnsi="Times New Roman" w:cs="Times New Roman"/>
          <w:sz w:val="24"/>
          <w:szCs w:val="24"/>
        </w:rPr>
        <w:t>.</w:t>
      </w:r>
      <w:r w:rsidR="000145BA" w:rsidRPr="00777073">
        <w:rPr>
          <w:rFonts w:ascii="Times New Roman" w:hAnsi="Times New Roman" w:cs="Times New Roman"/>
          <w:sz w:val="24"/>
          <w:szCs w:val="24"/>
        </w:rPr>
        <w:t xml:space="preserve">  Increased communication with faculty, particularly adjuncts, is suggested.</w:t>
      </w:r>
      <w:r w:rsidRPr="00777073">
        <w:rPr>
          <w:rFonts w:ascii="Times New Roman" w:hAnsi="Times New Roman" w:cs="Times New Roman"/>
          <w:sz w:val="24"/>
          <w:szCs w:val="24"/>
        </w:rPr>
        <w:t xml:space="preserve"> </w:t>
      </w:r>
    </w:p>
    <w:p w:rsidR="00077D10" w:rsidRPr="00777073" w:rsidRDefault="00077D10" w:rsidP="00077D10">
      <w:pPr>
        <w:pStyle w:val="NoSpacing"/>
        <w:rPr>
          <w:rFonts w:ascii="Times New Roman" w:hAnsi="Times New Roman" w:cs="Times New Roman"/>
          <w:sz w:val="24"/>
          <w:szCs w:val="24"/>
        </w:rPr>
      </w:pPr>
    </w:p>
    <w:p w:rsidR="00077D10" w:rsidRPr="00777073" w:rsidRDefault="000145BA" w:rsidP="00077D10">
      <w:pPr>
        <w:pStyle w:val="NoSpacing"/>
        <w:rPr>
          <w:rFonts w:ascii="Times New Roman" w:hAnsi="Times New Roman" w:cs="Times New Roman"/>
          <w:b/>
          <w:sz w:val="24"/>
          <w:szCs w:val="24"/>
          <w:u w:val="single"/>
        </w:rPr>
      </w:pPr>
      <w:r w:rsidRPr="00777073">
        <w:rPr>
          <w:rFonts w:ascii="Times New Roman" w:hAnsi="Times New Roman" w:cs="Times New Roman"/>
          <w:b/>
          <w:sz w:val="24"/>
          <w:szCs w:val="24"/>
          <w:u w:val="single"/>
        </w:rPr>
        <w:t>Accessing Triage Services</w:t>
      </w:r>
    </w:p>
    <w:p w:rsidR="000145BA" w:rsidRPr="00777073" w:rsidRDefault="000145BA" w:rsidP="00077D10">
      <w:pPr>
        <w:pStyle w:val="NoSpacing"/>
        <w:rPr>
          <w:rFonts w:ascii="Times New Roman" w:hAnsi="Times New Roman" w:cs="Times New Roman"/>
          <w:sz w:val="24"/>
          <w:szCs w:val="24"/>
        </w:rPr>
      </w:pPr>
    </w:p>
    <w:p w:rsidR="00077D10" w:rsidRDefault="00077D10" w:rsidP="00077D10">
      <w:pPr>
        <w:pStyle w:val="NoSpacing"/>
        <w:rPr>
          <w:rFonts w:ascii="Times New Roman" w:hAnsi="Times New Roman" w:cs="Times New Roman"/>
          <w:sz w:val="24"/>
          <w:szCs w:val="24"/>
        </w:rPr>
      </w:pPr>
      <w:r w:rsidRPr="00777073">
        <w:rPr>
          <w:rFonts w:ascii="Times New Roman" w:hAnsi="Times New Roman" w:cs="Times New Roman"/>
          <w:sz w:val="24"/>
          <w:szCs w:val="24"/>
        </w:rPr>
        <w:t>The students that were referred to the Triage program requested assistance online, via email, phone, or an office visit.</w:t>
      </w:r>
    </w:p>
    <w:p w:rsidR="00392096" w:rsidRDefault="00392096" w:rsidP="00077D10">
      <w:pPr>
        <w:pStyle w:val="NoSpacing"/>
        <w:rPr>
          <w:rFonts w:ascii="Times New Roman" w:hAnsi="Times New Roman" w:cs="Times New Roman"/>
          <w:sz w:val="24"/>
          <w:szCs w:val="24"/>
        </w:rPr>
      </w:pPr>
    </w:p>
    <w:p w:rsidR="00392096" w:rsidRPr="00777073" w:rsidRDefault="00392096" w:rsidP="00077D10">
      <w:pPr>
        <w:pStyle w:val="NoSpacing"/>
        <w:rPr>
          <w:rFonts w:ascii="Times New Roman" w:hAnsi="Times New Roman" w:cs="Times New Roman"/>
          <w:sz w:val="24"/>
          <w:szCs w:val="24"/>
        </w:rPr>
      </w:pPr>
      <w:r>
        <w:rPr>
          <w:rFonts w:ascii="Times New Roman" w:hAnsi="Times New Roman" w:cs="Times New Roman"/>
          <w:sz w:val="24"/>
          <w:szCs w:val="24"/>
        </w:rPr>
        <w:t>Chart 2:  Accessing Triage services</w:t>
      </w:r>
    </w:p>
    <w:p w:rsidR="0001573A" w:rsidRPr="00777073" w:rsidRDefault="0001573A" w:rsidP="00077D10">
      <w:pPr>
        <w:pStyle w:val="NoSpacing"/>
        <w:rPr>
          <w:rFonts w:ascii="Times New Roman" w:hAnsi="Times New Roman" w:cs="Times New Roman"/>
          <w:sz w:val="24"/>
          <w:szCs w:val="24"/>
        </w:rPr>
      </w:pPr>
    </w:p>
    <w:p w:rsidR="00077D10" w:rsidRPr="00777073" w:rsidRDefault="0001573A" w:rsidP="00077D10">
      <w:pPr>
        <w:pStyle w:val="NoSpacing"/>
        <w:rPr>
          <w:rFonts w:ascii="Times New Roman" w:hAnsi="Times New Roman" w:cs="Times New Roman"/>
          <w:sz w:val="24"/>
          <w:szCs w:val="24"/>
        </w:rPr>
      </w:pPr>
      <w:r w:rsidRPr="00777073">
        <w:rPr>
          <w:rFonts w:ascii="Times New Roman" w:hAnsi="Times New Roman" w:cs="Times New Roman"/>
          <w:noProof/>
          <w:sz w:val="24"/>
          <w:szCs w:val="24"/>
        </w:rPr>
        <w:drawing>
          <wp:inline distT="0" distB="0" distL="0" distR="0">
            <wp:extent cx="4029075" cy="2476500"/>
            <wp:effectExtent l="19050" t="0" r="9525"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7D10" w:rsidRPr="00777073" w:rsidRDefault="00077D10" w:rsidP="00077D10">
      <w:pPr>
        <w:pStyle w:val="NoSpacing"/>
        <w:jc w:val="center"/>
        <w:rPr>
          <w:rFonts w:ascii="Times New Roman" w:hAnsi="Times New Roman" w:cs="Times New Roman"/>
          <w:sz w:val="24"/>
          <w:szCs w:val="24"/>
        </w:rPr>
      </w:pPr>
    </w:p>
    <w:p w:rsidR="0001573A" w:rsidRPr="00777073" w:rsidRDefault="0001573A" w:rsidP="00077D10">
      <w:pPr>
        <w:pStyle w:val="NoSpacing"/>
        <w:rPr>
          <w:rFonts w:ascii="Times New Roman" w:hAnsi="Times New Roman" w:cs="Times New Roman"/>
          <w:sz w:val="24"/>
          <w:szCs w:val="24"/>
        </w:rPr>
      </w:pPr>
    </w:p>
    <w:p w:rsidR="00077D10" w:rsidRPr="00777073" w:rsidRDefault="006F11CE" w:rsidP="00077D10">
      <w:pPr>
        <w:pStyle w:val="NoSpacing"/>
        <w:numPr>
          <w:ilvl w:val="0"/>
          <w:numId w:val="7"/>
        </w:numPr>
        <w:rPr>
          <w:rFonts w:ascii="Times New Roman" w:hAnsi="Times New Roman" w:cs="Times New Roman"/>
          <w:sz w:val="24"/>
          <w:szCs w:val="24"/>
        </w:rPr>
      </w:pPr>
      <w:r w:rsidRPr="00777073">
        <w:rPr>
          <w:rFonts w:ascii="Times New Roman" w:hAnsi="Times New Roman" w:cs="Times New Roman"/>
          <w:sz w:val="24"/>
          <w:szCs w:val="24"/>
        </w:rPr>
        <w:t xml:space="preserve"> 18% </w:t>
      </w:r>
      <w:r w:rsidR="00077D10" w:rsidRPr="00777073">
        <w:rPr>
          <w:rFonts w:ascii="Times New Roman" w:hAnsi="Times New Roman" w:cs="Times New Roman"/>
          <w:sz w:val="24"/>
          <w:szCs w:val="24"/>
        </w:rPr>
        <w:t>Submitted an online form</w:t>
      </w:r>
    </w:p>
    <w:p w:rsidR="00077D10" w:rsidRPr="00777073" w:rsidRDefault="0001573A" w:rsidP="00077D10">
      <w:pPr>
        <w:pStyle w:val="NoSpacing"/>
        <w:numPr>
          <w:ilvl w:val="0"/>
          <w:numId w:val="7"/>
        </w:numPr>
        <w:rPr>
          <w:rFonts w:ascii="Times New Roman" w:hAnsi="Times New Roman" w:cs="Times New Roman"/>
          <w:sz w:val="24"/>
          <w:szCs w:val="24"/>
        </w:rPr>
      </w:pPr>
      <w:r w:rsidRPr="00777073">
        <w:rPr>
          <w:rFonts w:ascii="Times New Roman" w:hAnsi="Times New Roman" w:cs="Times New Roman"/>
          <w:sz w:val="24"/>
          <w:szCs w:val="24"/>
        </w:rPr>
        <w:t xml:space="preserve"> </w:t>
      </w:r>
      <w:r w:rsidR="006F11CE" w:rsidRPr="00777073">
        <w:rPr>
          <w:rFonts w:ascii="Times New Roman" w:hAnsi="Times New Roman" w:cs="Times New Roman"/>
          <w:sz w:val="24"/>
          <w:szCs w:val="24"/>
        </w:rPr>
        <w:t>20%</w:t>
      </w:r>
      <w:r w:rsidRPr="00777073">
        <w:rPr>
          <w:rFonts w:ascii="Times New Roman" w:hAnsi="Times New Roman" w:cs="Times New Roman"/>
          <w:sz w:val="24"/>
          <w:szCs w:val="24"/>
        </w:rPr>
        <w:t xml:space="preserve"> </w:t>
      </w:r>
      <w:r w:rsidR="006F11CE" w:rsidRPr="00777073">
        <w:rPr>
          <w:rFonts w:ascii="Times New Roman" w:hAnsi="Times New Roman" w:cs="Times New Roman"/>
          <w:sz w:val="24"/>
          <w:szCs w:val="24"/>
        </w:rPr>
        <w:t>Office Visit</w:t>
      </w:r>
    </w:p>
    <w:p w:rsidR="00077D10" w:rsidRPr="00777073" w:rsidRDefault="006F11CE" w:rsidP="00077D10">
      <w:pPr>
        <w:pStyle w:val="NoSpacing"/>
        <w:numPr>
          <w:ilvl w:val="0"/>
          <w:numId w:val="7"/>
        </w:numPr>
        <w:rPr>
          <w:rFonts w:ascii="Times New Roman" w:hAnsi="Times New Roman" w:cs="Times New Roman"/>
          <w:sz w:val="24"/>
          <w:szCs w:val="24"/>
        </w:rPr>
      </w:pPr>
      <w:r w:rsidRPr="00777073">
        <w:rPr>
          <w:rFonts w:ascii="Times New Roman" w:hAnsi="Times New Roman" w:cs="Times New Roman"/>
          <w:sz w:val="24"/>
          <w:szCs w:val="24"/>
        </w:rPr>
        <w:t xml:space="preserve"> 33%</w:t>
      </w:r>
      <w:r w:rsidR="00077D10" w:rsidRPr="00777073">
        <w:rPr>
          <w:rFonts w:ascii="Times New Roman" w:hAnsi="Times New Roman" w:cs="Times New Roman"/>
          <w:sz w:val="24"/>
          <w:szCs w:val="24"/>
        </w:rPr>
        <w:t xml:space="preserve">  Faculty referral</w:t>
      </w:r>
    </w:p>
    <w:p w:rsidR="00077D10" w:rsidRPr="00777073" w:rsidRDefault="006F11CE" w:rsidP="00077D10">
      <w:pPr>
        <w:pStyle w:val="NoSpacing"/>
        <w:numPr>
          <w:ilvl w:val="0"/>
          <w:numId w:val="7"/>
        </w:numPr>
        <w:rPr>
          <w:rFonts w:ascii="Times New Roman" w:hAnsi="Times New Roman" w:cs="Times New Roman"/>
          <w:sz w:val="24"/>
          <w:szCs w:val="24"/>
        </w:rPr>
      </w:pPr>
      <w:r w:rsidRPr="00777073">
        <w:rPr>
          <w:rFonts w:ascii="Times New Roman" w:hAnsi="Times New Roman" w:cs="Times New Roman"/>
          <w:sz w:val="24"/>
          <w:szCs w:val="24"/>
        </w:rPr>
        <w:t>12%</w:t>
      </w:r>
      <w:r w:rsidR="00077D10" w:rsidRPr="00777073">
        <w:rPr>
          <w:rFonts w:ascii="Times New Roman" w:hAnsi="Times New Roman" w:cs="Times New Roman"/>
          <w:sz w:val="24"/>
          <w:szCs w:val="24"/>
        </w:rPr>
        <w:t xml:space="preserve">  Health &amp; Wellness</w:t>
      </w:r>
    </w:p>
    <w:p w:rsidR="00077D10" w:rsidRPr="00777073" w:rsidRDefault="006F11CE" w:rsidP="00077D10">
      <w:pPr>
        <w:pStyle w:val="NoSpacing"/>
        <w:numPr>
          <w:ilvl w:val="0"/>
          <w:numId w:val="7"/>
        </w:numPr>
        <w:rPr>
          <w:rFonts w:ascii="Times New Roman" w:hAnsi="Times New Roman" w:cs="Times New Roman"/>
          <w:sz w:val="24"/>
          <w:szCs w:val="24"/>
        </w:rPr>
      </w:pPr>
      <w:r w:rsidRPr="00777073">
        <w:rPr>
          <w:rFonts w:ascii="Times New Roman" w:hAnsi="Times New Roman" w:cs="Times New Roman"/>
          <w:sz w:val="24"/>
          <w:szCs w:val="24"/>
        </w:rPr>
        <w:t>1%</w:t>
      </w:r>
      <w:r w:rsidR="00077D10" w:rsidRPr="00777073">
        <w:rPr>
          <w:rFonts w:ascii="Times New Roman" w:hAnsi="Times New Roman" w:cs="Times New Roman"/>
          <w:sz w:val="24"/>
          <w:szCs w:val="24"/>
        </w:rPr>
        <w:t xml:space="preserve">  Dean of Students</w:t>
      </w:r>
    </w:p>
    <w:p w:rsidR="006E7D40" w:rsidRPr="00777073" w:rsidRDefault="006E7D40" w:rsidP="00077D10">
      <w:pPr>
        <w:pStyle w:val="NoSpacing"/>
        <w:rPr>
          <w:rFonts w:ascii="Times New Roman" w:hAnsi="Times New Roman" w:cs="Times New Roman"/>
          <w:b/>
          <w:i/>
          <w:sz w:val="24"/>
          <w:szCs w:val="24"/>
        </w:rPr>
      </w:pPr>
    </w:p>
    <w:p w:rsidR="006E7D40" w:rsidRPr="00777073" w:rsidRDefault="006E7D40" w:rsidP="00077D10">
      <w:pPr>
        <w:pStyle w:val="NoSpacing"/>
        <w:rPr>
          <w:rFonts w:ascii="Times New Roman" w:hAnsi="Times New Roman" w:cs="Times New Roman"/>
          <w:b/>
          <w:sz w:val="24"/>
          <w:szCs w:val="24"/>
          <w:u w:val="single"/>
        </w:rPr>
      </w:pPr>
    </w:p>
    <w:p w:rsidR="00077D10" w:rsidRPr="00777073" w:rsidRDefault="00077D10" w:rsidP="00077D10">
      <w:pPr>
        <w:pStyle w:val="NoSpacing"/>
        <w:rPr>
          <w:rFonts w:ascii="Times New Roman" w:hAnsi="Times New Roman" w:cs="Times New Roman"/>
          <w:b/>
          <w:sz w:val="24"/>
          <w:szCs w:val="24"/>
          <w:u w:val="single"/>
        </w:rPr>
      </w:pPr>
      <w:r w:rsidRPr="00777073">
        <w:rPr>
          <w:rFonts w:ascii="Times New Roman" w:hAnsi="Times New Roman" w:cs="Times New Roman"/>
          <w:b/>
          <w:sz w:val="24"/>
          <w:szCs w:val="24"/>
          <w:u w:val="single"/>
        </w:rPr>
        <w:lastRenderedPageBreak/>
        <w:t xml:space="preserve">Academic Standing </w:t>
      </w:r>
    </w:p>
    <w:p w:rsidR="00077D10" w:rsidRPr="00777073" w:rsidRDefault="00077D10" w:rsidP="00077D10">
      <w:pPr>
        <w:pStyle w:val="NoSpacing"/>
        <w:rPr>
          <w:rFonts w:ascii="Times New Roman" w:hAnsi="Times New Roman" w:cs="Times New Roman"/>
          <w:i/>
          <w:sz w:val="24"/>
          <w:szCs w:val="24"/>
        </w:rPr>
      </w:pPr>
    </w:p>
    <w:p w:rsidR="00077D10" w:rsidRPr="00392096" w:rsidRDefault="000145BA" w:rsidP="00077D10">
      <w:pPr>
        <w:pStyle w:val="NoSpacing"/>
        <w:rPr>
          <w:rFonts w:ascii="Times New Roman" w:hAnsi="Times New Roman" w:cs="Times New Roman"/>
          <w:sz w:val="24"/>
          <w:szCs w:val="24"/>
        </w:rPr>
      </w:pPr>
      <w:r w:rsidRPr="00392096">
        <w:rPr>
          <w:rFonts w:ascii="Times New Roman" w:hAnsi="Times New Roman" w:cs="Times New Roman"/>
          <w:sz w:val="24"/>
          <w:szCs w:val="24"/>
        </w:rPr>
        <w:t xml:space="preserve">Thirty-three percent </w:t>
      </w:r>
      <w:r w:rsidR="00077D10" w:rsidRPr="00392096">
        <w:rPr>
          <w:rFonts w:ascii="Times New Roman" w:hAnsi="Times New Roman" w:cs="Times New Roman"/>
          <w:sz w:val="24"/>
          <w:szCs w:val="24"/>
        </w:rPr>
        <w:t xml:space="preserve">of students registered in the Triage program were placed on Academic Watch, Probation 1, or Probation </w:t>
      </w:r>
      <w:r w:rsidRPr="00392096">
        <w:rPr>
          <w:rFonts w:ascii="Times New Roman" w:hAnsi="Times New Roman" w:cs="Times New Roman"/>
          <w:sz w:val="24"/>
          <w:szCs w:val="24"/>
        </w:rPr>
        <w:t>2.  Of these, the academic standing breakdown is as follows:</w:t>
      </w:r>
    </w:p>
    <w:p w:rsidR="00392096" w:rsidRDefault="00392096" w:rsidP="00077D10">
      <w:pPr>
        <w:pStyle w:val="NoSpacing"/>
        <w:rPr>
          <w:rFonts w:ascii="Times New Roman" w:hAnsi="Times New Roman" w:cs="Times New Roman"/>
          <w:i/>
          <w:sz w:val="24"/>
          <w:szCs w:val="24"/>
        </w:rPr>
      </w:pPr>
    </w:p>
    <w:p w:rsidR="00077D10" w:rsidRPr="00777073" w:rsidRDefault="00392096" w:rsidP="00077D10">
      <w:pPr>
        <w:pStyle w:val="NoSpacing"/>
        <w:rPr>
          <w:rFonts w:ascii="Times New Roman" w:hAnsi="Times New Roman" w:cs="Times New Roman"/>
          <w:i/>
          <w:sz w:val="24"/>
          <w:szCs w:val="24"/>
        </w:rPr>
      </w:pPr>
      <w:r>
        <w:rPr>
          <w:rFonts w:ascii="Times New Roman" w:hAnsi="Times New Roman" w:cs="Times New Roman"/>
          <w:sz w:val="24"/>
          <w:szCs w:val="24"/>
        </w:rPr>
        <w:t>Chart 3:  Relationship between Triage status and academic standing</w:t>
      </w:r>
    </w:p>
    <w:p w:rsidR="00077D10" w:rsidRPr="00777073" w:rsidRDefault="00077D10" w:rsidP="00077D10">
      <w:pPr>
        <w:pStyle w:val="NoSpacing"/>
        <w:rPr>
          <w:rFonts w:ascii="Times New Roman" w:hAnsi="Times New Roman" w:cs="Times New Roman"/>
          <w:sz w:val="24"/>
          <w:szCs w:val="24"/>
        </w:rPr>
      </w:pPr>
    </w:p>
    <w:p w:rsidR="00077D10" w:rsidRPr="00777073" w:rsidRDefault="00077D10" w:rsidP="00077D10">
      <w:pPr>
        <w:pStyle w:val="NoSpacing"/>
        <w:rPr>
          <w:rFonts w:ascii="Times New Roman" w:hAnsi="Times New Roman" w:cs="Times New Roman"/>
          <w:b/>
          <w:sz w:val="24"/>
          <w:szCs w:val="24"/>
        </w:rPr>
      </w:pPr>
      <w:r w:rsidRPr="00777073">
        <w:rPr>
          <w:rFonts w:ascii="Times New Roman" w:hAnsi="Times New Roman" w:cs="Times New Roman"/>
          <w:b/>
          <w:noProof/>
          <w:sz w:val="24"/>
          <w:szCs w:val="24"/>
        </w:rPr>
        <w:drawing>
          <wp:inline distT="0" distB="0" distL="0" distR="0">
            <wp:extent cx="5019675" cy="2847975"/>
            <wp:effectExtent l="19050" t="0" r="9525"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7D10" w:rsidRPr="00777073" w:rsidRDefault="00077D10" w:rsidP="00077D10">
      <w:pPr>
        <w:pStyle w:val="NoSpacing"/>
        <w:rPr>
          <w:rFonts w:ascii="Times New Roman" w:hAnsi="Times New Roman" w:cs="Times New Roman"/>
          <w:b/>
          <w:sz w:val="24"/>
          <w:szCs w:val="24"/>
        </w:rPr>
      </w:pPr>
    </w:p>
    <w:p w:rsidR="00077D10" w:rsidRPr="00777073" w:rsidRDefault="00077D10" w:rsidP="00077D10">
      <w:pPr>
        <w:pStyle w:val="NoSpacing"/>
        <w:rPr>
          <w:rFonts w:ascii="Times New Roman" w:hAnsi="Times New Roman" w:cs="Times New Roman"/>
          <w:b/>
          <w:sz w:val="24"/>
          <w:szCs w:val="24"/>
        </w:rPr>
      </w:pPr>
    </w:p>
    <w:p w:rsidR="00077D10" w:rsidRPr="00777073" w:rsidRDefault="000145BA" w:rsidP="00077D10">
      <w:pPr>
        <w:pStyle w:val="NoSpacing"/>
        <w:rPr>
          <w:rFonts w:ascii="Times New Roman" w:hAnsi="Times New Roman" w:cs="Times New Roman"/>
          <w:sz w:val="24"/>
          <w:szCs w:val="24"/>
        </w:rPr>
      </w:pPr>
      <w:r w:rsidRPr="00777073">
        <w:rPr>
          <w:rFonts w:ascii="Times New Roman" w:hAnsi="Times New Roman" w:cs="Times New Roman"/>
          <w:sz w:val="24"/>
          <w:szCs w:val="24"/>
        </w:rPr>
        <w:t>These data indicate that Triage is a risk factor for academic standing.  We must develop programs and services for effective academic interventions with these students.</w:t>
      </w:r>
    </w:p>
    <w:p w:rsidR="00904AE3" w:rsidRPr="00777073" w:rsidRDefault="00904AE3" w:rsidP="00077D10">
      <w:pPr>
        <w:pStyle w:val="NoSpacing"/>
        <w:rPr>
          <w:rFonts w:ascii="Times New Roman" w:hAnsi="Times New Roman" w:cs="Times New Roman"/>
          <w:sz w:val="24"/>
          <w:szCs w:val="24"/>
        </w:rPr>
      </w:pPr>
    </w:p>
    <w:p w:rsidR="00904AE3" w:rsidRPr="00392096" w:rsidRDefault="00904AE3" w:rsidP="00904AE3">
      <w:pPr>
        <w:rPr>
          <w:rFonts w:ascii="Times New Roman" w:hAnsi="Times New Roman" w:cs="Times New Roman"/>
          <w:sz w:val="24"/>
          <w:szCs w:val="24"/>
        </w:rPr>
      </w:pPr>
      <w:r w:rsidRPr="00392096">
        <w:rPr>
          <w:rFonts w:ascii="Times New Roman" w:hAnsi="Times New Roman" w:cs="Times New Roman"/>
          <w:sz w:val="24"/>
          <w:szCs w:val="24"/>
        </w:rPr>
        <w:t xml:space="preserve">Chart </w:t>
      </w:r>
      <w:r w:rsidR="00392096" w:rsidRPr="00392096">
        <w:rPr>
          <w:rFonts w:ascii="Times New Roman" w:hAnsi="Times New Roman" w:cs="Times New Roman"/>
          <w:sz w:val="24"/>
          <w:szCs w:val="24"/>
        </w:rPr>
        <w:t>4</w:t>
      </w:r>
      <w:r w:rsidRPr="00392096">
        <w:rPr>
          <w:rFonts w:ascii="Times New Roman" w:hAnsi="Times New Roman" w:cs="Times New Roman"/>
          <w:sz w:val="24"/>
          <w:szCs w:val="24"/>
        </w:rPr>
        <w:t>: Reasons for requesting Triage services in Spring 2013</w:t>
      </w:r>
    </w:p>
    <w:p w:rsidR="00904AE3" w:rsidRPr="00777073" w:rsidRDefault="00904AE3" w:rsidP="00904AE3">
      <w:pPr>
        <w:rPr>
          <w:rFonts w:ascii="Times New Roman" w:hAnsi="Times New Roman" w:cs="Times New Roman"/>
          <w:sz w:val="24"/>
          <w:szCs w:val="24"/>
        </w:rPr>
      </w:pPr>
      <w:r w:rsidRPr="00777073">
        <w:rPr>
          <w:rFonts w:ascii="Times New Roman" w:hAnsi="Times New Roman" w:cs="Times New Roman"/>
          <w:sz w:val="24"/>
          <w:szCs w:val="24"/>
        </w:rPr>
        <w:t xml:space="preserve">Triage was developed to provide extended advising support to students in times of personal emergency or crisis.  These emergencies are categorized as medical, family, personal or other. </w:t>
      </w:r>
    </w:p>
    <w:p w:rsidR="00904AE3" w:rsidRPr="00777073" w:rsidRDefault="00904AE3" w:rsidP="00904AE3">
      <w:pPr>
        <w:rPr>
          <w:rFonts w:ascii="Times New Roman" w:hAnsi="Times New Roman" w:cs="Times New Roman"/>
          <w:sz w:val="24"/>
          <w:szCs w:val="24"/>
        </w:rPr>
      </w:pPr>
      <w:r w:rsidRPr="00777073">
        <w:rPr>
          <w:rFonts w:ascii="Times New Roman" w:hAnsi="Times New Roman" w:cs="Times New Roman"/>
          <w:noProof/>
          <w:sz w:val="24"/>
          <w:szCs w:val="24"/>
        </w:rPr>
        <w:drawing>
          <wp:inline distT="0" distB="0" distL="0" distR="0">
            <wp:extent cx="3790950" cy="223837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2096" w:rsidRDefault="00904AE3" w:rsidP="00904AE3">
      <w:pPr>
        <w:rPr>
          <w:rFonts w:ascii="Times New Roman" w:hAnsi="Times New Roman" w:cs="Times New Roman"/>
          <w:b/>
          <w:sz w:val="24"/>
          <w:szCs w:val="24"/>
          <w:u w:val="single"/>
        </w:rPr>
      </w:pPr>
      <w:r w:rsidRPr="00777073">
        <w:rPr>
          <w:rFonts w:ascii="Times New Roman" w:hAnsi="Times New Roman" w:cs="Times New Roman"/>
          <w:i/>
          <w:sz w:val="24"/>
          <w:szCs w:val="24"/>
        </w:rPr>
        <w:lastRenderedPageBreak/>
        <w:t>60% Medical Emergency (17% of this total were a result pregnancy related complications)</w:t>
      </w:r>
      <w:r w:rsidRPr="00777073">
        <w:rPr>
          <w:rFonts w:ascii="Times New Roman" w:hAnsi="Times New Roman" w:cs="Times New Roman"/>
          <w:i/>
          <w:sz w:val="24"/>
          <w:szCs w:val="24"/>
        </w:rPr>
        <w:br/>
        <w:t>7% Personal Emergency (domestic violence and homelessness)</w:t>
      </w:r>
      <w:r w:rsidRPr="00777073">
        <w:rPr>
          <w:rFonts w:ascii="Times New Roman" w:hAnsi="Times New Roman" w:cs="Times New Roman"/>
          <w:i/>
          <w:sz w:val="24"/>
          <w:szCs w:val="24"/>
        </w:rPr>
        <w:br/>
        <w:t>33% Family Emergency (combination of care giving and death)</w:t>
      </w:r>
      <w:r w:rsidRPr="00777073">
        <w:rPr>
          <w:rFonts w:ascii="Times New Roman" w:hAnsi="Times New Roman" w:cs="Times New Roman"/>
          <w:i/>
          <w:sz w:val="24"/>
          <w:szCs w:val="24"/>
        </w:rPr>
        <w:br/>
        <w:t>0% Other</w:t>
      </w:r>
      <w:r w:rsidRPr="00777073">
        <w:rPr>
          <w:rFonts w:ascii="Times New Roman" w:hAnsi="Times New Roman" w:cs="Times New Roman"/>
          <w:i/>
          <w:sz w:val="24"/>
          <w:szCs w:val="24"/>
        </w:rPr>
        <w:br/>
      </w:r>
    </w:p>
    <w:p w:rsidR="00904AE3" w:rsidRPr="00392096" w:rsidRDefault="00904AE3" w:rsidP="00904AE3">
      <w:pPr>
        <w:rPr>
          <w:rFonts w:ascii="Times New Roman" w:hAnsi="Times New Roman" w:cs="Times New Roman"/>
          <w:sz w:val="24"/>
          <w:szCs w:val="24"/>
        </w:rPr>
      </w:pPr>
      <w:r w:rsidRPr="00392096">
        <w:rPr>
          <w:rFonts w:ascii="Times New Roman" w:hAnsi="Times New Roman" w:cs="Times New Roman"/>
          <w:sz w:val="24"/>
          <w:szCs w:val="24"/>
        </w:rPr>
        <w:t xml:space="preserve">Chart </w:t>
      </w:r>
      <w:r w:rsidR="00392096">
        <w:rPr>
          <w:rFonts w:ascii="Times New Roman" w:hAnsi="Times New Roman" w:cs="Times New Roman"/>
          <w:sz w:val="24"/>
          <w:szCs w:val="24"/>
        </w:rPr>
        <w:t>5</w:t>
      </w:r>
      <w:r w:rsidRPr="00392096">
        <w:rPr>
          <w:rFonts w:ascii="Times New Roman" w:hAnsi="Times New Roman" w:cs="Times New Roman"/>
          <w:sz w:val="24"/>
          <w:szCs w:val="24"/>
        </w:rPr>
        <w:t>: Comparisons of services requested in Spring 2013 by class level</w:t>
      </w:r>
    </w:p>
    <w:p w:rsidR="00904AE3" w:rsidRPr="00777073" w:rsidRDefault="00904AE3" w:rsidP="00904AE3">
      <w:pPr>
        <w:rPr>
          <w:rFonts w:ascii="Times New Roman" w:hAnsi="Times New Roman" w:cs="Times New Roman"/>
          <w:sz w:val="24"/>
          <w:szCs w:val="24"/>
        </w:rPr>
      </w:pPr>
      <w:r w:rsidRPr="00777073">
        <w:rPr>
          <w:rFonts w:ascii="Times New Roman" w:hAnsi="Times New Roman" w:cs="Times New Roman"/>
          <w:sz w:val="24"/>
          <w:szCs w:val="24"/>
        </w:rPr>
        <w:t xml:space="preserve">Medical emergencies were the top reason for students requesting access to the Triage Program.  Of the 42 total participants, 2 students were repeaters from Fall 2012 due to sickle-cell disease. </w:t>
      </w:r>
    </w:p>
    <w:p w:rsidR="00904AE3" w:rsidRPr="00777073" w:rsidRDefault="00904AE3" w:rsidP="00904AE3">
      <w:pPr>
        <w:rPr>
          <w:rFonts w:ascii="Times New Roman" w:hAnsi="Times New Roman" w:cs="Times New Roman"/>
          <w:sz w:val="24"/>
          <w:szCs w:val="24"/>
        </w:rPr>
      </w:pPr>
      <w:r w:rsidRPr="00777073">
        <w:rPr>
          <w:rFonts w:ascii="Times New Roman" w:hAnsi="Times New Roman" w:cs="Times New Roman"/>
          <w:noProof/>
          <w:sz w:val="24"/>
          <w:szCs w:val="24"/>
        </w:rPr>
        <w:drawing>
          <wp:inline distT="0" distB="0" distL="0" distR="0">
            <wp:extent cx="3790950" cy="2333625"/>
            <wp:effectExtent l="19050" t="0" r="19050" b="0"/>
            <wp:docPr id="19"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4AE3" w:rsidRPr="00392096" w:rsidRDefault="00392096" w:rsidP="00904AE3">
      <w:pPr>
        <w:rPr>
          <w:rFonts w:ascii="Times New Roman" w:hAnsi="Times New Roman" w:cs="Times New Roman"/>
          <w:sz w:val="24"/>
          <w:szCs w:val="24"/>
        </w:rPr>
      </w:pPr>
      <w:r>
        <w:rPr>
          <w:rFonts w:ascii="Times New Roman" w:hAnsi="Times New Roman" w:cs="Times New Roman"/>
          <w:sz w:val="24"/>
          <w:szCs w:val="24"/>
        </w:rPr>
        <w:t>Chart 6</w:t>
      </w:r>
      <w:r w:rsidR="00904AE3" w:rsidRPr="00392096">
        <w:rPr>
          <w:rFonts w:ascii="Times New Roman" w:hAnsi="Times New Roman" w:cs="Times New Roman"/>
          <w:sz w:val="24"/>
          <w:szCs w:val="24"/>
        </w:rPr>
        <w:t>: Triage services request comparison from Fall 2012 to Spring 2013</w:t>
      </w:r>
    </w:p>
    <w:p w:rsidR="00904AE3" w:rsidRPr="00777073" w:rsidRDefault="00904AE3" w:rsidP="00904AE3">
      <w:pPr>
        <w:rPr>
          <w:rFonts w:ascii="Times New Roman" w:hAnsi="Times New Roman" w:cs="Times New Roman"/>
          <w:sz w:val="24"/>
          <w:szCs w:val="24"/>
        </w:rPr>
      </w:pPr>
      <w:r w:rsidRPr="00777073">
        <w:rPr>
          <w:rFonts w:ascii="Times New Roman" w:hAnsi="Times New Roman" w:cs="Times New Roman"/>
          <w:sz w:val="24"/>
          <w:szCs w:val="24"/>
        </w:rPr>
        <w:t>The Triage Program enrolled 81 total participants in Fall 2012 to Spring 2013, which resulted in an increase of medical and family emergencies.  Examples of medical emergencies were influenza (flu), seizures, sickle-cell disease, surgeries (biopsies, oral and maxillofacial), automobile accidents, etc.</w:t>
      </w:r>
    </w:p>
    <w:p w:rsidR="00904AE3" w:rsidRPr="00777073" w:rsidRDefault="00904AE3" w:rsidP="00904AE3">
      <w:pPr>
        <w:rPr>
          <w:rFonts w:ascii="Times New Roman" w:hAnsi="Times New Roman" w:cs="Times New Roman"/>
          <w:sz w:val="24"/>
          <w:szCs w:val="24"/>
        </w:rPr>
      </w:pPr>
      <w:r w:rsidRPr="00777073">
        <w:rPr>
          <w:rFonts w:ascii="Times New Roman" w:hAnsi="Times New Roman" w:cs="Times New Roman"/>
          <w:noProof/>
          <w:sz w:val="24"/>
          <w:szCs w:val="24"/>
        </w:rPr>
        <w:drawing>
          <wp:inline distT="0" distB="0" distL="0" distR="0">
            <wp:extent cx="3790950" cy="227647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4AE3" w:rsidRPr="00392096" w:rsidRDefault="00392096" w:rsidP="00904AE3">
      <w:pPr>
        <w:tabs>
          <w:tab w:val="left" w:pos="3780"/>
        </w:tabs>
        <w:jc w:val="both"/>
        <w:rPr>
          <w:rFonts w:ascii="Times New Roman" w:hAnsi="Times New Roman" w:cs="Times New Roman"/>
          <w:sz w:val="24"/>
          <w:szCs w:val="24"/>
        </w:rPr>
      </w:pPr>
      <w:r w:rsidRPr="00392096">
        <w:rPr>
          <w:rFonts w:ascii="Times New Roman" w:hAnsi="Times New Roman" w:cs="Times New Roman"/>
          <w:sz w:val="24"/>
          <w:szCs w:val="24"/>
        </w:rPr>
        <w:lastRenderedPageBreak/>
        <w:t>C</w:t>
      </w:r>
      <w:r w:rsidR="00904AE3" w:rsidRPr="00392096">
        <w:rPr>
          <w:rFonts w:ascii="Times New Roman" w:hAnsi="Times New Roman" w:cs="Times New Roman"/>
          <w:sz w:val="24"/>
          <w:szCs w:val="24"/>
        </w:rPr>
        <w:t xml:space="preserve">hart </w:t>
      </w:r>
      <w:r>
        <w:rPr>
          <w:rFonts w:ascii="Times New Roman" w:hAnsi="Times New Roman" w:cs="Times New Roman"/>
          <w:sz w:val="24"/>
          <w:szCs w:val="24"/>
        </w:rPr>
        <w:t>7</w:t>
      </w:r>
      <w:r w:rsidR="00904AE3" w:rsidRPr="00392096">
        <w:rPr>
          <w:rFonts w:ascii="Times New Roman" w:hAnsi="Times New Roman" w:cs="Times New Roman"/>
          <w:sz w:val="24"/>
          <w:szCs w:val="24"/>
        </w:rPr>
        <w:t xml:space="preserve">: Academic Standing Awards   </w:t>
      </w:r>
    </w:p>
    <w:p w:rsidR="00904AE3" w:rsidRDefault="00904AE3" w:rsidP="00904AE3">
      <w:pPr>
        <w:tabs>
          <w:tab w:val="left" w:pos="3780"/>
        </w:tabs>
        <w:jc w:val="both"/>
        <w:rPr>
          <w:rFonts w:ascii="Times New Roman" w:hAnsi="Times New Roman" w:cs="Times New Roman"/>
          <w:b/>
          <w:sz w:val="24"/>
          <w:szCs w:val="24"/>
        </w:rPr>
      </w:pPr>
      <w:r w:rsidRPr="00777073">
        <w:rPr>
          <w:rFonts w:ascii="Times New Roman" w:hAnsi="Times New Roman" w:cs="Times New Roman"/>
          <w:sz w:val="24"/>
          <w:szCs w:val="24"/>
        </w:rPr>
        <w:t>Fifty-two percent (52%) of students registered in the Triage Program in Spring 2013 were placed on Academic Warning, Academic Watch, Probation 1, Probation 2, or Academic Dismissal.</w:t>
      </w:r>
      <w:r w:rsidRPr="00777073">
        <w:rPr>
          <w:rFonts w:ascii="Times New Roman" w:hAnsi="Times New Roman" w:cs="Times New Roman"/>
          <w:b/>
          <w:sz w:val="24"/>
          <w:szCs w:val="24"/>
        </w:rPr>
        <w:t xml:space="preserve"> </w:t>
      </w:r>
      <w:r w:rsidRPr="00777073">
        <w:rPr>
          <w:rFonts w:ascii="Times New Roman" w:hAnsi="Times New Roman" w:cs="Times New Roman"/>
          <w:b/>
          <w:noProof/>
          <w:sz w:val="24"/>
          <w:szCs w:val="24"/>
        </w:rPr>
        <w:drawing>
          <wp:inline distT="0" distB="0" distL="0" distR="0">
            <wp:extent cx="5467350" cy="3124200"/>
            <wp:effectExtent l="19050" t="0" r="19050" b="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4AE3" w:rsidRPr="00084232" w:rsidRDefault="00904AE3" w:rsidP="00904AE3">
      <w:pPr>
        <w:keepNext/>
        <w:tabs>
          <w:tab w:val="left" w:pos="3780"/>
        </w:tabs>
        <w:jc w:val="both"/>
        <w:rPr>
          <w:rFonts w:ascii="Times New Roman" w:hAnsi="Times New Roman" w:cs="Times New Roman"/>
          <w:sz w:val="24"/>
          <w:szCs w:val="24"/>
        </w:rPr>
      </w:pPr>
      <w:r w:rsidRPr="00084232">
        <w:rPr>
          <w:rFonts w:ascii="Times New Roman" w:hAnsi="Times New Roman" w:cs="Times New Roman"/>
          <w:sz w:val="24"/>
          <w:szCs w:val="24"/>
        </w:rPr>
        <w:lastRenderedPageBreak/>
        <w:t xml:space="preserve">Chart </w:t>
      </w:r>
      <w:r w:rsidR="00084232">
        <w:rPr>
          <w:rFonts w:ascii="Times New Roman" w:hAnsi="Times New Roman" w:cs="Times New Roman"/>
          <w:sz w:val="24"/>
          <w:szCs w:val="24"/>
        </w:rPr>
        <w:t>8</w:t>
      </w:r>
      <w:r w:rsidRPr="00084232">
        <w:rPr>
          <w:rFonts w:ascii="Times New Roman" w:hAnsi="Times New Roman" w:cs="Times New Roman"/>
          <w:sz w:val="24"/>
          <w:szCs w:val="24"/>
        </w:rPr>
        <w:t>: Fall 2012 to Spring 2013 academic standing comparisons</w:t>
      </w:r>
    </w:p>
    <w:p w:rsidR="00904AE3" w:rsidRPr="00777073" w:rsidRDefault="00904AE3" w:rsidP="00904AE3">
      <w:pPr>
        <w:keepNext/>
        <w:tabs>
          <w:tab w:val="left" w:pos="3780"/>
        </w:tabs>
        <w:jc w:val="both"/>
        <w:rPr>
          <w:rFonts w:ascii="Times New Roman" w:hAnsi="Times New Roman" w:cs="Times New Roman"/>
          <w:sz w:val="24"/>
          <w:szCs w:val="24"/>
        </w:rPr>
      </w:pPr>
      <w:r w:rsidRPr="00777073">
        <w:rPr>
          <w:rFonts w:ascii="Times New Roman" w:hAnsi="Times New Roman" w:cs="Times New Roman"/>
          <w:sz w:val="24"/>
          <w:szCs w:val="24"/>
        </w:rPr>
        <w:t>The number of participants receiving no academic award decreased in Spring 2013.  This was due in part to students taking a more proactive role in communicating with their professors regarding their extended absence, submitting missed assignments, and working with Academic Services to receive tutoring assistance.  Participants were also able to make clearer decisions to request an incomplete, or to withdraw from some or all classes.</w:t>
      </w:r>
    </w:p>
    <w:p w:rsidR="00904AE3" w:rsidRPr="00777073" w:rsidRDefault="00904AE3" w:rsidP="00904AE3">
      <w:pPr>
        <w:keepNext/>
        <w:tabs>
          <w:tab w:val="left" w:pos="3780"/>
        </w:tabs>
        <w:jc w:val="both"/>
        <w:rPr>
          <w:rFonts w:ascii="Times New Roman" w:hAnsi="Times New Roman" w:cs="Times New Roman"/>
          <w:b/>
          <w:sz w:val="24"/>
          <w:szCs w:val="24"/>
        </w:rPr>
      </w:pPr>
      <w:r w:rsidRPr="00777073">
        <w:rPr>
          <w:rFonts w:ascii="Times New Roman" w:hAnsi="Times New Roman" w:cs="Times New Roman"/>
          <w:b/>
          <w:noProof/>
          <w:sz w:val="24"/>
          <w:szCs w:val="24"/>
        </w:rPr>
        <w:drawing>
          <wp:inline distT="0" distB="0" distL="0" distR="0">
            <wp:extent cx="5029200" cy="244792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4AE3" w:rsidRPr="00084232" w:rsidRDefault="00904AE3" w:rsidP="00904AE3">
      <w:pPr>
        <w:keepNext/>
        <w:tabs>
          <w:tab w:val="left" w:pos="3780"/>
        </w:tabs>
        <w:jc w:val="both"/>
        <w:rPr>
          <w:rFonts w:ascii="Times New Roman" w:hAnsi="Times New Roman" w:cs="Times New Roman"/>
          <w:sz w:val="24"/>
          <w:szCs w:val="24"/>
        </w:rPr>
      </w:pPr>
      <w:r w:rsidRPr="00084232">
        <w:rPr>
          <w:rFonts w:ascii="Times New Roman" w:hAnsi="Times New Roman" w:cs="Times New Roman"/>
          <w:sz w:val="24"/>
          <w:szCs w:val="24"/>
        </w:rPr>
        <w:t xml:space="preserve">Chart </w:t>
      </w:r>
      <w:r w:rsidR="00084232">
        <w:rPr>
          <w:rFonts w:ascii="Times New Roman" w:hAnsi="Times New Roman" w:cs="Times New Roman"/>
          <w:sz w:val="24"/>
          <w:szCs w:val="24"/>
        </w:rPr>
        <w:t>9</w:t>
      </w:r>
      <w:r w:rsidRPr="00084232">
        <w:rPr>
          <w:rFonts w:ascii="Times New Roman" w:hAnsi="Times New Roman" w:cs="Times New Roman"/>
          <w:sz w:val="24"/>
          <w:szCs w:val="24"/>
        </w:rPr>
        <w:t>: Triage Case Referrals</w:t>
      </w:r>
    </w:p>
    <w:p w:rsidR="00904AE3" w:rsidRPr="00777073" w:rsidRDefault="00904AE3" w:rsidP="00904AE3">
      <w:pPr>
        <w:keepNext/>
        <w:tabs>
          <w:tab w:val="left" w:pos="3780"/>
        </w:tabs>
        <w:jc w:val="both"/>
        <w:rPr>
          <w:rFonts w:ascii="Times New Roman" w:hAnsi="Times New Roman" w:cs="Times New Roman"/>
          <w:sz w:val="24"/>
          <w:szCs w:val="24"/>
        </w:rPr>
      </w:pPr>
      <w:r w:rsidRPr="00777073">
        <w:rPr>
          <w:rFonts w:ascii="Times New Roman" w:hAnsi="Times New Roman" w:cs="Times New Roman"/>
          <w:sz w:val="24"/>
          <w:szCs w:val="24"/>
        </w:rPr>
        <w:t>The students that were referred to the Triage Program requested assistance online, via e-mail, phone, or an office visit.  In Spring 2013, there was an increase in the number of students referred by either their peers, parents, or partnership schools (i.e. TEAM Academy Charter, KIPP affiliated) as compared to Fall 2012.</w:t>
      </w:r>
    </w:p>
    <w:p w:rsidR="00904AE3" w:rsidRPr="00777073" w:rsidRDefault="00904AE3" w:rsidP="00904AE3">
      <w:pPr>
        <w:keepNext/>
        <w:tabs>
          <w:tab w:val="left" w:pos="3780"/>
        </w:tabs>
        <w:jc w:val="both"/>
        <w:rPr>
          <w:rFonts w:ascii="Times New Roman" w:hAnsi="Times New Roman" w:cs="Times New Roman"/>
          <w:b/>
          <w:sz w:val="24"/>
          <w:szCs w:val="24"/>
          <w:u w:val="single"/>
        </w:rPr>
      </w:pPr>
      <w:r w:rsidRPr="00777073">
        <w:rPr>
          <w:rFonts w:ascii="Times New Roman" w:hAnsi="Times New Roman" w:cs="Times New Roman"/>
          <w:b/>
          <w:noProof/>
          <w:sz w:val="24"/>
          <w:szCs w:val="24"/>
          <w:u w:val="single"/>
        </w:rPr>
        <w:drawing>
          <wp:anchor distT="0" distB="0" distL="114300" distR="114300" simplePos="0" relativeHeight="251659264" behindDoc="0" locked="0" layoutInCell="1" allowOverlap="1">
            <wp:simplePos x="933450" y="914400"/>
            <wp:positionH relativeFrom="column">
              <wp:align>left</wp:align>
            </wp:positionH>
            <wp:positionV relativeFrom="paragraph">
              <wp:align>top</wp:align>
            </wp:positionV>
            <wp:extent cx="4848225" cy="2676525"/>
            <wp:effectExtent l="19050" t="0" r="9525"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904AE3" w:rsidRPr="00777073" w:rsidRDefault="00904AE3" w:rsidP="00904AE3">
      <w:pPr>
        <w:keepNext/>
        <w:tabs>
          <w:tab w:val="left" w:pos="3780"/>
        </w:tabs>
        <w:jc w:val="both"/>
        <w:rPr>
          <w:rFonts w:ascii="Times New Roman" w:hAnsi="Times New Roman" w:cs="Times New Roman"/>
          <w:b/>
          <w:sz w:val="24"/>
          <w:szCs w:val="24"/>
          <w:u w:val="single"/>
        </w:rPr>
      </w:pPr>
    </w:p>
    <w:p w:rsidR="00904AE3" w:rsidRPr="00777073" w:rsidRDefault="00904AE3" w:rsidP="00904AE3">
      <w:pPr>
        <w:keepNext/>
        <w:tabs>
          <w:tab w:val="left" w:pos="3780"/>
        </w:tabs>
        <w:jc w:val="both"/>
        <w:rPr>
          <w:rFonts w:ascii="Times New Roman" w:hAnsi="Times New Roman" w:cs="Times New Roman"/>
          <w:b/>
          <w:sz w:val="24"/>
          <w:szCs w:val="24"/>
          <w:u w:val="single"/>
        </w:rPr>
      </w:pPr>
    </w:p>
    <w:p w:rsidR="00904AE3" w:rsidRPr="00777073" w:rsidRDefault="00904AE3" w:rsidP="00904AE3">
      <w:pPr>
        <w:keepNext/>
        <w:tabs>
          <w:tab w:val="left" w:pos="3780"/>
        </w:tabs>
        <w:jc w:val="both"/>
        <w:rPr>
          <w:rFonts w:ascii="Times New Roman" w:hAnsi="Times New Roman" w:cs="Times New Roman"/>
          <w:b/>
          <w:sz w:val="24"/>
          <w:szCs w:val="24"/>
          <w:u w:val="single"/>
        </w:rPr>
      </w:pPr>
    </w:p>
    <w:p w:rsidR="00904AE3" w:rsidRPr="00777073" w:rsidRDefault="00904AE3" w:rsidP="00904AE3">
      <w:pPr>
        <w:keepNext/>
        <w:tabs>
          <w:tab w:val="left" w:pos="3780"/>
        </w:tabs>
        <w:jc w:val="both"/>
        <w:rPr>
          <w:rFonts w:ascii="Times New Roman" w:hAnsi="Times New Roman" w:cs="Times New Roman"/>
          <w:b/>
          <w:sz w:val="24"/>
          <w:szCs w:val="24"/>
          <w:u w:val="single"/>
        </w:rPr>
      </w:pPr>
    </w:p>
    <w:p w:rsidR="00904AE3" w:rsidRPr="00777073" w:rsidRDefault="00904AE3" w:rsidP="00904AE3">
      <w:pPr>
        <w:keepNext/>
        <w:tabs>
          <w:tab w:val="left" w:pos="3780"/>
        </w:tabs>
        <w:jc w:val="both"/>
        <w:rPr>
          <w:rFonts w:ascii="Times New Roman" w:hAnsi="Times New Roman" w:cs="Times New Roman"/>
          <w:b/>
          <w:sz w:val="24"/>
          <w:szCs w:val="24"/>
          <w:u w:val="single"/>
        </w:rPr>
      </w:pPr>
    </w:p>
    <w:p w:rsidR="00F84046" w:rsidRDefault="00F84046" w:rsidP="00904AE3">
      <w:pPr>
        <w:keepNext/>
        <w:tabs>
          <w:tab w:val="left" w:pos="3780"/>
        </w:tabs>
        <w:jc w:val="both"/>
        <w:rPr>
          <w:rFonts w:ascii="Times New Roman" w:hAnsi="Times New Roman" w:cs="Times New Roman"/>
          <w:b/>
          <w:sz w:val="24"/>
          <w:szCs w:val="24"/>
          <w:u w:val="single"/>
        </w:rPr>
      </w:pPr>
    </w:p>
    <w:p w:rsidR="00F84046" w:rsidRDefault="00F84046" w:rsidP="00904AE3">
      <w:pPr>
        <w:keepNext/>
        <w:tabs>
          <w:tab w:val="left" w:pos="3780"/>
        </w:tabs>
        <w:jc w:val="both"/>
        <w:rPr>
          <w:rFonts w:ascii="Times New Roman" w:hAnsi="Times New Roman" w:cs="Times New Roman"/>
          <w:b/>
          <w:sz w:val="24"/>
          <w:szCs w:val="24"/>
          <w:u w:val="single"/>
        </w:rPr>
      </w:pPr>
    </w:p>
    <w:p w:rsidR="00F84046" w:rsidRDefault="00F84046" w:rsidP="00904AE3">
      <w:pPr>
        <w:keepNext/>
        <w:tabs>
          <w:tab w:val="left" w:pos="3780"/>
        </w:tabs>
        <w:jc w:val="both"/>
        <w:rPr>
          <w:rFonts w:ascii="Times New Roman" w:hAnsi="Times New Roman" w:cs="Times New Roman"/>
          <w:b/>
          <w:sz w:val="24"/>
          <w:szCs w:val="24"/>
          <w:u w:val="single"/>
        </w:rPr>
      </w:pPr>
    </w:p>
    <w:p w:rsidR="00904AE3" w:rsidRPr="00777073" w:rsidRDefault="00904AE3" w:rsidP="00904AE3">
      <w:pPr>
        <w:keepNext/>
        <w:tabs>
          <w:tab w:val="left" w:pos="3780"/>
        </w:tabs>
        <w:jc w:val="both"/>
        <w:rPr>
          <w:rFonts w:ascii="Times New Roman" w:hAnsi="Times New Roman" w:cs="Times New Roman"/>
          <w:b/>
          <w:sz w:val="24"/>
          <w:szCs w:val="24"/>
          <w:u w:val="single"/>
        </w:rPr>
      </w:pPr>
      <w:r w:rsidRPr="00777073">
        <w:rPr>
          <w:rFonts w:ascii="Times New Roman" w:hAnsi="Times New Roman" w:cs="Times New Roman"/>
          <w:b/>
          <w:sz w:val="24"/>
          <w:szCs w:val="24"/>
          <w:u w:val="single"/>
        </w:rPr>
        <w:t>New Program Initiatives for Spring 2013</w:t>
      </w:r>
    </w:p>
    <w:p w:rsidR="00904AE3" w:rsidRPr="00777073" w:rsidRDefault="00904AE3" w:rsidP="00904AE3">
      <w:pPr>
        <w:pStyle w:val="ListParagraph"/>
        <w:keepNext/>
        <w:numPr>
          <w:ilvl w:val="0"/>
          <w:numId w:val="21"/>
        </w:numPr>
        <w:tabs>
          <w:tab w:val="left" w:pos="3780"/>
        </w:tabs>
        <w:jc w:val="both"/>
        <w:rPr>
          <w:rFonts w:ascii="Times New Roman" w:hAnsi="Times New Roman" w:cs="Times New Roman"/>
          <w:sz w:val="24"/>
          <w:szCs w:val="24"/>
        </w:rPr>
      </w:pPr>
      <w:r w:rsidRPr="00777073">
        <w:rPr>
          <w:rFonts w:ascii="Times New Roman" w:hAnsi="Times New Roman" w:cs="Times New Roman"/>
          <w:sz w:val="24"/>
          <w:szCs w:val="24"/>
        </w:rPr>
        <w:t xml:space="preserve">The Triage administrator sent email confirmations to participants once they were enrolled in the program.  The message provided the dates of enrollment along with a listing of their course schedule to show which professors would be notified of their extended absence.  </w:t>
      </w:r>
    </w:p>
    <w:p w:rsidR="00904AE3" w:rsidRPr="00777073" w:rsidRDefault="00904AE3" w:rsidP="00904AE3">
      <w:pPr>
        <w:pStyle w:val="ListParagraph"/>
        <w:keepNext/>
        <w:tabs>
          <w:tab w:val="left" w:pos="3780"/>
        </w:tabs>
        <w:jc w:val="both"/>
        <w:rPr>
          <w:rFonts w:ascii="Times New Roman" w:hAnsi="Times New Roman" w:cs="Times New Roman"/>
          <w:sz w:val="24"/>
          <w:szCs w:val="24"/>
        </w:rPr>
      </w:pPr>
    </w:p>
    <w:p w:rsidR="00904AE3" w:rsidRPr="00777073" w:rsidRDefault="00904AE3" w:rsidP="00904AE3">
      <w:pPr>
        <w:pStyle w:val="ListParagraph"/>
        <w:keepNext/>
        <w:numPr>
          <w:ilvl w:val="0"/>
          <w:numId w:val="21"/>
        </w:numPr>
        <w:tabs>
          <w:tab w:val="left" w:pos="3780"/>
        </w:tabs>
        <w:jc w:val="both"/>
        <w:rPr>
          <w:rFonts w:ascii="Times New Roman" w:hAnsi="Times New Roman" w:cs="Times New Roman"/>
          <w:sz w:val="24"/>
          <w:szCs w:val="24"/>
        </w:rPr>
      </w:pPr>
      <w:r w:rsidRPr="00777073">
        <w:rPr>
          <w:rFonts w:ascii="Times New Roman" w:hAnsi="Times New Roman" w:cs="Times New Roman"/>
          <w:sz w:val="24"/>
          <w:szCs w:val="24"/>
        </w:rPr>
        <w:t>Midterm grades were included on the master Triage Program Cases Report, which was distributed weekly to the deans and Health &amp; Wellness.</w:t>
      </w:r>
    </w:p>
    <w:p w:rsidR="00904AE3" w:rsidRPr="00084232" w:rsidRDefault="00904AE3" w:rsidP="00904AE3">
      <w:pPr>
        <w:keepNext/>
        <w:tabs>
          <w:tab w:val="left" w:pos="3780"/>
        </w:tabs>
        <w:jc w:val="both"/>
        <w:rPr>
          <w:rFonts w:ascii="Times New Roman" w:hAnsi="Times New Roman" w:cs="Times New Roman"/>
          <w:sz w:val="24"/>
          <w:szCs w:val="24"/>
        </w:rPr>
      </w:pPr>
      <w:r w:rsidRPr="00084232">
        <w:rPr>
          <w:rFonts w:ascii="Times New Roman" w:hAnsi="Times New Roman" w:cs="Times New Roman"/>
          <w:sz w:val="24"/>
          <w:szCs w:val="24"/>
        </w:rPr>
        <w:t>Program Improvements</w:t>
      </w:r>
    </w:p>
    <w:p w:rsidR="00904AE3" w:rsidRPr="00777073" w:rsidRDefault="00904AE3" w:rsidP="00904AE3">
      <w:pPr>
        <w:pStyle w:val="ListParagraph"/>
        <w:keepNext/>
        <w:numPr>
          <w:ilvl w:val="0"/>
          <w:numId w:val="20"/>
        </w:numPr>
        <w:tabs>
          <w:tab w:val="left" w:pos="3780"/>
        </w:tabs>
        <w:jc w:val="both"/>
        <w:rPr>
          <w:rFonts w:ascii="Times New Roman" w:hAnsi="Times New Roman" w:cs="Times New Roman"/>
          <w:sz w:val="24"/>
          <w:szCs w:val="24"/>
        </w:rPr>
      </w:pPr>
      <w:r w:rsidRPr="00777073">
        <w:rPr>
          <w:rFonts w:ascii="Times New Roman" w:hAnsi="Times New Roman" w:cs="Times New Roman"/>
          <w:sz w:val="24"/>
          <w:szCs w:val="24"/>
        </w:rPr>
        <w:t xml:space="preserve">Requested by Dean Child to survey participants at end of semester; will begin this process in fall 2013. </w:t>
      </w:r>
    </w:p>
    <w:p w:rsidR="00904AE3" w:rsidRPr="00777073" w:rsidRDefault="00904AE3" w:rsidP="00904AE3">
      <w:pPr>
        <w:pStyle w:val="ListParagraph"/>
        <w:keepNext/>
        <w:tabs>
          <w:tab w:val="left" w:pos="3780"/>
        </w:tabs>
        <w:jc w:val="both"/>
        <w:rPr>
          <w:rFonts w:ascii="Times New Roman" w:hAnsi="Times New Roman" w:cs="Times New Roman"/>
          <w:sz w:val="24"/>
          <w:szCs w:val="24"/>
        </w:rPr>
      </w:pPr>
    </w:p>
    <w:p w:rsidR="00904AE3" w:rsidRPr="00777073" w:rsidRDefault="00904AE3" w:rsidP="00904AE3">
      <w:pPr>
        <w:pStyle w:val="ListParagraph"/>
        <w:keepNext/>
        <w:numPr>
          <w:ilvl w:val="0"/>
          <w:numId w:val="20"/>
        </w:numPr>
        <w:tabs>
          <w:tab w:val="left" w:pos="3780"/>
        </w:tabs>
        <w:jc w:val="both"/>
        <w:rPr>
          <w:rFonts w:ascii="Times New Roman" w:hAnsi="Times New Roman" w:cs="Times New Roman"/>
          <w:sz w:val="24"/>
          <w:szCs w:val="24"/>
        </w:rPr>
      </w:pPr>
      <w:r w:rsidRPr="00777073">
        <w:rPr>
          <w:rFonts w:ascii="Times New Roman" w:hAnsi="Times New Roman" w:cs="Times New Roman"/>
          <w:sz w:val="24"/>
          <w:szCs w:val="24"/>
        </w:rPr>
        <w:t>Update online request form to include participant’s Trinity email.</w:t>
      </w:r>
    </w:p>
    <w:p w:rsidR="00904AE3" w:rsidRPr="00777073" w:rsidRDefault="00904AE3" w:rsidP="00904AE3">
      <w:pPr>
        <w:pStyle w:val="ListParagraph"/>
        <w:rPr>
          <w:rFonts w:ascii="Times New Roman" w:hAnsi="Times New Roman" w:cs="Times New Roman"/>
          <w:sz w:val="24"/>
          <w:szCs w:val="24"/>
        </w:rPr>
      </w:pPr>
    </w:p>
    <w:p w:rsidR="00904AE3" w:rsidRPr="00777073" w:rsidRDefault="00904AE3" w:rsidP="00904AE3">
      <w:pPr>
        <w:pStyle w:val="ListParagraph"/>
        <w:keepNext/>
        <w:numPr>
          <w:ilvl w:val="0"/>
          <w:numId w:val="20"/>
        </w:numPr>
        <w:tabs>
          <w:tab w:val="left" w:pos="3780"/>
        </w:tabs>
        <w:jc w:val="both"/>
        <w:rPr>
          <w:rFonts w:ascii="Times New Roman" w:hAnsi="Times New Roman" w:cs="Times New Roman"/>
          <w:sz w:val="24"/>
          <w:szCs w:val="24"/>
        </w:rPr>
      </w:pPr>
      <w:r w:rsidRPr="00777073">
        <w:rPr>
          <w:rFonts w:ascii="Times New Roman" w:hAnsi="Times New Roman" w:cs="Times New Roman"/>
          <w:sz w:val="24"/>
          <w:szCs w:val="24"/>
        </w:rPr>
        <w:t>Copy participant’s academic advisor on enrollment confirmation.</w:t>
      </w:r>
    </w:p>
    <w:p w:rsidR="00904AE3" w:rsidRPr="00084232" w:rsidRDefault="00904AE3" w:rsidP="00904AE3">
      <w:pPr>
        <w:keepNext/>
        <w:tabs>
          <w:tab w:val="left" w:pos="3780"/>
        </w:tabs>
        <w:jc w:val="both"/>
        <w:rPr>
          <w:rFonts w:ascii="Times New Roman" w:hAnsi="Times New Roman" w:cs="Times New Roman"/>
          <w:sz w:val="24"/>
          <w:szCs w:val="24"/>
        </w:rPr>
      </w:pPr>
      <w:r w:rsidRPr="00084232">
        <w:rPr>
          <w:rFonts w:ascii="Times New Roman" w:hAnsi="Times New Roman" w:cs="Times New Roman"/>
          <w:sz w:val="24"/>
          <w:szCs w:val="24"/>
        </w:rPr>
        <w:t>Program Issues</w:t>
      </w:r>
    </w:p>
    <w:p w:rsidR="00077D10" w:rsidRPr="00084232" w:rsidRDefault="00904AE3" w:rsidP="00077D10">
      <w:pPr>
        <w:pStyle w:val="ListParagraph"/>
        <w:keepNext/>
        <w:numPr>
          <w:ilvl w:val="0"/>
          <w:numId w:val="22"/>
        </w:numPr>
        <w:tabs>
          <w:tab w:val="left" w:pos="3780"/>
        </w:tabs>
        <w:jc w:val="both"/>
        <w:rPr>
          <w:rFonts w:ascii="Times New Roman" w:hAnsi="Times New Roman" w:cs="Times New Roman"/>
          <w:sz w:val="24"/>
          <w:szCs w:val="24"/>
        </w:rPr>
      </w:pPr>
      <w:r w:rsidRPr="00084232">
        <w:rPr>
          <w:rFonts w:ascii="Times New Roman" w:hAnsi="Times New Roman" w:cs="Times New Roman"/>
          <w:sz w:val="24"/>
          <w:szCs w:val="24"/>
        </w:rPr>
        <w:t>Reiterate to faculty and adjuncts that they have the discretion to deny participants the right to make up missed assignments/exams.  There were several occasions where students were directed to the Triage administrator for extension approvals and to reschedule exams.</w:t>
      </w:r>
    </w:p>
    <w:p w:rsidR="00077D10" w:rsidRPr="00084232" w:rsidRDefault="00077D10" w:rsidP="00077D10">
      <w:pPr>
        <w:pStyle w:val="NoSpacing"/>
        <w:rPr>
          <w:rFonts w:ascii="Times New Roman" w:hAnsi="Times New Roman" w:cs="Times New Roman"/>
          <w:sz w:val="24"/>
          <w:szCs w:val="24"/>
        </w:rPr>
      </w:pPr>
      <w:r w:rsidRPr="00084232">
        <w:rPr>
          <w:rFonts w:ascii="Times New Roman" w:hAnsi="Times New Roman" w:cs="Times New Roman"/>
          <w:sz w:val="24"/>
          <w:szCs w:val="24"/>
        </w:rPr>
        <w:t>Recommendations</w:t>
      </w:r>
    </w:p>
    <w:p w:rsidR="00077D10" w:rsidRPr="00777073" w:rsidRDefault="00077D10" w:rsidP="00077D10">
      <w:pPr>
        <w:pStyle w:val="NoSpacing"/>
        <w:rPr>
          <w:rFonts w:ascii="Times New Roman" w:hAnsi="Times New Roman" w:cs="Times New Roman"/>
          <w:sz w:val="24"/>
          <w:szCs w:val="24"/>
        </w:rPr>
      </w:pPr>
    </w:p>
    <w:p w:rsidR="00077D10" w:rsidRPr="00777073" w:rsidRDefault="00077D10" w:rsidP="00077D10">
      <w:pPr>
        <w:pStyle w:val="NoSpacing"/>
        <w:numPr>
          <w:ilvl w:val="0"/>
          <w:numId w:val="9"/>
        </w:numPr>
        <w:rPr>
          <w:rFonts w:ascii="Times New Roman" w:hAnsi="Times New Roman" w:cs="Times New Roman"/>
          <w:sz w:val="24"/>
          <w:szCs w:val="24"/>
        </w:rPr>
      </w:pPr>
      <w:r w:rsidRPr="00777073">
        <w:rPr>
          <w:rFonts w:ascii="Times New Roman" w:hAnsi="Times New Roman" w:cs="Times New Roman"/>
          <w:sz w:val="24"/>
          <w:szCs w:val="24"/>
        </w:rPr>
        <w:t>The Triage program will need to increase its web visibility and accessibility. Faculty and staff should encourage students to submit online Triage request forms. The forms provide up to date information on how to contact the student, the nature of their emergency, and the last date the student attended class. Moving forward, the Triage program will provide online faculty referrals to make it easier for professors to alert the Office of Advising of students who may be in crisis.</w:t>
      </w:r>
    </w:p>
    <w:p w:rsidR="00077D10" w:rsidRPr="00777073" w:rsidRDefault="00077D10" w:rsidP="00077D10">
      <w:pPr>
        <w:pStyle w:val="NoSpacing"/>
        <w:numPr>
          <w:ilvl w:val="0"/>
          <w:numId w:val="9"/>
        </w:numPr>
        <w:rPr>
          <w:rFonts w:ascii="Times New Roman" w:hAnsi="Times New Roman" w:cs="Times New Roman"/>
          <w:sz w:val="24"/>
          <w:szCs w:val="24"/>
        </w:rPr>
      </w:pPr>
      <w:r w:rsidRPr="00777073">
        <w:rPr>
          <w:rFonts w:ascii="Times New Roman" w:hAnsi="Times New Roman" w:cs="Times New Roman"/>
          <w:sz w:val="24"/>
          <w:szCs w:val="24"/>
        </w:rPr>
        <w:t xml:space="preserve">The program needs solid structures and next steps to help students come back to class and re-adjust to the classroom. Moving forward, the program will need to set guidelines on acceptable amounts of time to miss courses in regards to grief periods. </w:t>
      </w:r>
    </w:p>
    <w:p w:rsidR="00077D10" w:rsidRPr="00777073" w:rsidRDefault="00077D10" w:rsidP="00077D10">
      <w:pPr>
        <w:pStyle w:val="NoSpacing"/>
        <w:numPr>
          <w:ilvl w:val="0"/>
          <w:numId w:val="9"/>
        </w:numPr>
        <w:rPr>
          <w:rFonts w:ascii="Times New Roman" w:hAnsi="Times New Roman" w:cs="Times New Roman"/>
          <w:sz w:val="24"/>
          <w:szCs w:val="24"/>
        </w:rPr>
      </w:pPr>
      <w:r w:rsidRPr="00777073">
        <w:rPr>
          <w:rFonts w:ascii="Times New Roman" w:hAnsi="Times New Roman" w:cs="Times New Roman"/>
          <w:sz w:val="24"/>
          <w:szCs w:val="24"/>
        </w:rPr>
        <w:t>Managing expectations of students became increasingly difficult. The program will work to ensure that students understand their role and responsibility in the process.</w:t>
      </w:r>
    </w:p>
    <w:p w:rsidR="00077D10" w:rsidRPr="00777073" w:rsidRDefault="00077D10" w:rsidP="00077D10">
      <w:pPr>
        <w:pStyle w:val="NoSpacing"/>
        <w:numPr>
          <w:ilvl w:val="0"/>
          <w:numId w:val="9"/>
        </w:numPr>
        <w:rPr>
          <w:rFonts w:ascii="Times New Roman" w:hAnsi="Times New Roman" w:cs="Times New Roman"/>
          <w:sz w:val="24"/>
          <w:szCs w:val="24"/>
        </w:rPr>
      </w:pPr>
      <w:r w:rsidRPr="00777073">
        <w:rPr>
          <w:rFonts w:ascii="Times New Roman" w:hAnsi="Times New Roman" w:cs="Times New Roman"/>
          <w:sz w:val="24"/>
          <w:szCs w:val="24"/>
        </w:rPr>
        <w:t xml:space="preserve">The program will coordinate an outreach plan </w:t>
      </w:r>
      <w:r w:rsidR="00285D5C" w:rsidRPr="00777073">
        <w:rPr>
          <w:rFonts w:ascii="Times New Roman" w:hAnsi="Times New Roman" w:cs="Times New Roman"/>
          <w:sz w:val="24"/>
          <w:szCs w:val="24"/>
        </w:rPr>
        <w:t>to inform students of</w:t>
      </w:r>
      <w:r w:rsidRPr="00777073">
        <w:rPr>
          <w:rFonts w:ascii="Times New Roman" w:hAnsi="Times New Roman" w:cs="Times New Roman"/>
          <w:sz w:val="24"/>
          <w:szCs w:val="24"/>
        </w:rPr>
        <w:t xml:space="preserve"> important dates such as midterms, last date to withdraw, and finals.</w:t>
      </w:r>
    </w:p>
    <w:p w:rsidR="00077D10" w:rsidRPr="00777073" w:rsidRDefault="00077D10" w:rsidP="00077D10">
      <w:pPr>
        <w:pStyle w:val="NoSpacing"/>
        <w:rPr>
          <w:rFonts w:ascii="Times New Roman" w:hAnsi="Times New Roman" w:cs="Times New Roman"/>
          <w:sz w:val="24"/>
          <w:szCs w:val="24"/>
        </w:rPr>
      </w:pPr>
    </w:p>
    <w:p w:rsidR="00077D10" w:rsidRPr="00777073" w:rsidRDefault="00077D10" w:rsidP="00077D10">
      <w:pPr>
        <w:pStyle w:val="NoSpacing"/>
        <w:rPr>
          <w:rFonts w:ascii="Times New Roman" w:hAnsi="Times New Roman" w:cs="Times New Roman"/>
          <w:sz w:val="24"/>
          <w:szCs w:val="24"/>
        </w:rPr>
      </w:pPr>
    </w:p>
    <w:p w:rsidR="006E7D40" w:rsidRPr="00777073" w:rsidRDefault="006E7D40" w:rsidP="004173A6">
      <w:pPr>
        <w:rPr>
          <w:rFonts w:ascii="Times New Roman" w:hAnsi="Times New Roman" w:cs="Times New Roman"/>
          <w:b/>
          <w:sz w:val="24"/>
          <w:szCs w:val="24"/>
          <w:u w:val="single"/>
        </w:rPr>
      </w:pPr>
    </w:p>
    <w:p w:rsidR="00084232" w:rsidRDefault="00084232" w:rsidP="004173A6">
      <w:pPr>
        <w:rPr>
          <w:rFonts w:ascii="Times New Roman" w:hAnsi="Times New Roman" w:cs="Times New Roman"/>
          <w:b/>
          <w:sz w:val="24"/>
          <w:szCs w:val="24"/>
          <w:u w:val="single"/>
        </w:rPr>
      </w:pPr>
    </w:p>
    <w:p w:rsidR="004173A6" w:rsidRPr="00084232" w:rsidRDefault="00285D5C" w:rsidP="004173A6">
      <w:pPr>
        <w:rPr>
          <w:rFonts w:ascii="Times New Roman" w:hAnsi="Times New Roman" w:cs="Times New Roman"/>
          <w:sz w:val="24"/>
          <w:szCs w:val="24"/>
        </w:rPr>
      </w:pPr>
      <w:r w:rsidRPr="00084232">
        <w:rPr>
          <w:rFonts w:ascii="Times New Roman" w:hAnsi="Times New Roman" w:cs="Times New Roman"/>
          <w:sz w:val="24"/>
          <w:szCs w:val="24"/>
        </w:rPr>
        <w:t xml:space="preserve">The </w:t>
      </w:r>
      <w:r w:rsidR="004173A6" w:rsidRPr="00084232">
        <w:rPr>
          <w:rFonts w:ascii="Times New Roman" w:hAnsi="Times New Roman" w:cs="Times New Roman"/>
          <w:sz w:val="24"/>
          <w:szCs w:val="24"/>
        </w:rPr>
        <w:t xml:space="preserve">CAS UND-N </w:t>
      </w:r>
      <w:r w:rsidRPr="00084232">
        <w:rPr>
          <w:rFonts w:ascii="Times New Roman" w:hAnsi="Times New Roman" w:cs="Times New Roman"/>
          <w:sz w:val="24"/>
          <w:szCs w:val="24"/>
        </w:rPr>
        <w:t>Cohort</w:t>
      </w:r>
    </w:p>
    <w:p w:rsidR="008A0FDC" w:rsidRPr="00777073" w:rsidRDefault="008A0FDC" w:rsidP="004173A6">
      <w:pPr>
        <w:rPr>
          <w:rFonts w:ascii="Times New Roman" w:hAnsi="Times New Roman" w:cs="Times New Roman"/>
          <w:sz w:val="24"/>
          <w:szCs w:val="24"/>
        </w:rPr>
      </w:pPr>
      <w:r w:rsidRPr="00777073">
        <w:rPr>
          <w:rFonts w:ascii="Times New Roman" w:hAnsi="Times New Roman" w:cs="Times New Roman"/>
          <w:sz w:val="24"/>
          <w:szCs w:val="24"/>
        </w:rPr>
        <w:t>On July 26, 2012</w:t>
      </w:r>
      <w:r w:rsidR="005A317F" w:rsidRPr="00777073">
        <w:rPr>
          <w:rFonts w:ascii="Times New Roman" w:hAnsi="Times New Roman" w:cs="Times New Roman"/>
          <w:sz w:val="24"/>
          <w:szCs w:val="24"/>
        </w:rPr>
        <w:t>, new admission policies for Trinity’s Nursing Program</w:t>
      </w:r>
      <w:r w:rsidR="00285D5C" w:rsidRPr="00777073">
        <w:rPr>
          <w:rFonts w:ascii="Times New Roman" w:hAnsi="Times New Roman" w:cs="Times New Roman"/>
          <w:sz w:val="24"/>
          <w:szCs w:val="24"/>
        </w:rPr>
        <w:t xml:space="preserve"> were announced</w:t>
      </w:r>
      <w:r w:rsidRPr="00777073">
        <w:rPr>
          <w:rFonts w:ascii="Times New Roman" w:hAnsi="Times New Roman" w:cs="Times New Roman"/>
          <w:sz w:val="24"/>
          <w:szCs w:val="24"/>
        </w:rPr>
        <w:t>. These new admission policies included:</w:t>
      </w:r>
    </w:p>
    <w:p w:rsidR="008A0FDC" w:rsidRPr="00777073" w:rsidRDefault="008A0FDC" w:rsidP="008A0FDC">
      <w:pPr>
        <w:pStyle w:val="ListParagraph"/>
        <w:numPr>
          <w:ilvl w:val="0"/>
          <w:numId w:val="18"/>
        </w:numPr>
        <w:rPr>
          <w:rFonts w:ascii="Times New Roman" w:hAnsi="Times New Roman" w:cs="Times New Roman"/>
          <w:sz w:val="24"/>
          <w:szCs w:val="24"/>
        </w:rPr>
      </w:pPr>
      <w:r w:rsidRPr="00777073">
        <w:rPr>
          <w:rFonts w:ascii="Times New Roman" w:hAnsi="Times New Roman" w:cs="Times New Roman"/>
          <w:sz w:val="24"/>
          <w:szCs w:val="24"/>
        </w:rPr>
        <w:t>A reduced number of admitted students to 60 per year;</w:t>
      </w:r>
    </w:p>
    <w:p w:rsidR="004173A6" w:rsidRPr="00777073" w:rsidRDefault="008A0FDC" w:rsidP="008A0FDC">
      <w:pPr>
        <w:pStyle w:val="ListParagraph"/>
        <w:numPr>
          <w:ilvl w:val="0"/>
          <w:numId w:val="18"/>
        </w:numPr>
        <w:rPr>
          <w:rFonts w:ascii="Times New Roman" w:hAnsi="Times New Roman" w:cs="Times New Roman"/>
          <w:sz w:val="24"/>
          <w:szCs w:val="24"/>
        </w:rPr>
      </w:pPr>
      <w:r w:rsidRPr="00777073">
        <w:rPr>
          <w:rFonts w:ascii="Times New Roman" w:hAnsi="Times New Roman" w:cs="Times New Roman"/>
          <w:sz w:val="24"/>
          <w:szCs w:val="24"/>
        </w:rPr>
        <w:t>All pre-requisite math, science, and social science courses m</w:t>
      </w:r>
      <w:r w:rsidR="00285D5C" w:rsidRPr="00777073">
        <w:rPr>
          <w:rFonts w:ascii="Times New Roman" w:hAnsi="Times New Roman" w:cs="Times New Roman"/>
          <w:sz w:val="24"/>
          <w:szCs w:val="24"/>
        </w:rPr>
        <w:t xml:space="preserve">ust be completed at Trinity; </w:t>
      </w:r>
      <w:r w:rsidRPr="00777073">
        <w:rPr>
          <w:rFonts w:ascii="Times New Roman" w:hAnsi="Times New Roman" w:cs="Times New Roman"/>
          <w:sz w:val="24"/>
          <w:szCs w:val="24"/>
        </w:rPr>
        <w:t xml:space="preserve"> </w:t>
      </w:r>
    </w:p>
    <w:p w:rsidR="008A0FDC" w:rsidRPr="00777073" w:rsidRDefault="001011DC" w:rsidP="008A0FDC">
      <w:pPr>
        <w:pStyle w:val="ListParagraph"/>
        <w:numPr>
          <w:ilvl w:val="0"/>
          <w:numId w:val="18"/>
        </w:numPr>
        <w:rPr>
          <w:rFonts w:ascii="Times New Roman" w:hAnsi="Times New Roman" w:cs="Times New Roman"/>
          <w:sz w:val="24"/>
          <w:szCs w:val="24"/>
        </w:rPr>
      </w:pPr>
      <w:r w:rsidRPr="00777073">
        <w:rPr>
          <w:rFonts w:ascii="Times New Roman" w:hAnsi="Times New Roman" w:cs="Times New Roman"/>
          <w:sz w:val="24"/>
          <w:szCs w:val="24"/>
        </w:rPr>
        <w:t xml:space="preserve">No prior credits more than two </w:t>
      </w:r>
      <w:r w:rsidR="008A0FDC" w:rsidRPr="00777073">
        <w:rPr>
          <w:rFonts w:ascii="Times New Roman" w:hAnsi="Times New Roman" w:cs="Times New Roman"/>
          <w:sz w:val="24"/>
          <w:szCs w:val="24"/>
        </w:rPr>
        <w:t>years old will be accepted to fulfill general education requirements.</w:t>
      </w:r>
    </w:p>
    <w:p w:rsidR="008A0FDC" w:rsidRPr="00777073" w:rsidRDefault="008A0FDC" w:rsidP="008A0FDC">
      <w:pPr>
        <w:rPr>
          <w:rFonts w:ascii="Times New Roman" w:hAnsi="Times New Roman" w:cs="Times New Roman"/>
          <w:sz w:val="24"/>
          <w:szCs w:val="24"/>
        </w:rPr>
      </w:pPr>
      <w:r w:rsidRPr="00777073">
        <w:rPr>
          <w:rFonts w:ascii="Times New Roman" w:hAnsi="Times New Roman" w:cs="Times New Roman"/>
          <w:sz w:val="24"/>
          <w:szCs w:val="24"/>
        </w:rPr>
        <w:t>All students admitted for the Fall 2012 semester and who paid the deposit fee after the July 26, 2012 memo were subject</w:t>
      </w:r>
      <w:r w:rsidR="001011DC" w:rsidRPr="00777073">
        <w:rPr>
          <w:rFonts w:ascii="Times New Roman" w:hAnsi="Times New Roman" w:cs="Times New Roman"/>
          <w:sz w:val="24"/>
          <w:szCs w:val="24"/>
        </w:rPr>
        <w:t>ed</w:t>
      </w:r>
      <w:r w:rsidRPr="00777073">
        <w:rPr>
          <w:rFonts w:ascii="Times New Roman" w:hAnsi="Times New Roman" w:cs="Times New Roman"/>
          <w:sz w:val="24"/>
          <w:szCs w:val="24"/>
        </w:rPr>
        <w:t xml:space="preserve"> to these new admission policies.</w:t>
      </w:r>
    </w:p>
    <w:p w:rsidR="00904AE3" w:rsidRPr="00777073" w:rsidRDefault="00904AE3" w:rsidP="00904AE3">
      <w:pPr>
        <w:spacing w:before="240"/>
        <w:rPr>
          <w:rFonts w:ascii="Times New Roman" w:hAnsi="Times New Roman" w:cs="Times New Roman"/>
          <w:b/>
          <w:sz w:val="24"/>
          <w:szCs w:val="24"/>
        </w:rPr>
      </w:pPr>
      <w:r w:rsidRPr="00777073">
        <w:rPr>
          <w:rFonts w:ascii="Times New Roman" w:hAnsi="Times New Roman" w:cs="Times New Roman"/>
          <w:b/>
          <w:sz w:val="24"/>
          <w:szCs w:val="24"/>
        </w:rPr>
        <w:t>Goal #2:  Pre-Nursing and Undecided Nursing Cohort</w:t>
      </w:r>
    </w:p>
    <w:p w:rsidR="00904AE3" w:rsidRPr="00777073" w:rsidRDefault="00904AE3" w:rsidP="00904AE3">
      <w:pPr>
        <w:spacing w:before="240"/>
        <w:rPr>
          <w:rFonts w:ascii="Times New Roman" w:hAnsi="Times New Roman" w:cs="Times New Roman"/>
          <w:sz w:val="24"/>
          <w:szCs w:val="24"/>
        </w:rPr>
      </w:pPr>
      <w:r w:rsidRPr="00777073">
        <w:rPr>
          <w:rFonts w:ascii="Times New Roman" w:hAnsi="Times New Roman" w:cs="Times New Roman"/>
          <w:sz w:val="24"/>
          <w:szCs w:val="24"/>
        </w:rPr>
        <w:t>The 2012-2103 goal was to communicate new policies and admission processes to the students in this cohort, including procedures for assisting students to raise their GPAs and TEAS scores.  The recent changes to the nursing program admission policy continue to impact resident and transfer CAS students.  As of July 26, 2012,</w:t>
      </w:r>
    </w:p>
    <w:p w:rsidR="00904AE3" w:rsidRPr="00777073" w:rsidRDefault="00904AE3" w:rsidP="00904AE3">
      <w:pPr>
        <w:pStyle w:val="ListParagraph"/>
        <w:numPr>
          <w:ilvl w:val="0"/>
          <w:numId w:val="25"/>
        </w:numPr>
        <w:spacing w:before="240"/>
        <w:rPr>
          <w:rFonts w:ascii="Times New Roman" w:hAnsi="Times New Roman" w:cs="Times New Roman"/>
          <w:sz w:val="24"/>
          <w:szCs w:val="24"/>
        </w:rPr>
      </w:pPr>
      <w:r w:rsidRPr="00777073">
        <w:rPr>
          <w:rFonts w:ascii="Times New Roman" w:hAnsi="Times New Roman" w:cs="Times New Roman"/>
          <w:sz w:val="24"/>
          <w:szCs w:val="24"/>
        </w:rPr>
        <w:t>The reduced number of admitted students to 60 per year (30 each semester) made the overall process more competitive</w:t>
      </w:r>
    </w:p>
    <w:p w:rsidR="00904AE3" w:rsidRPr="00777073" w:rsidRDefault="00904AE3" w:rsidP="00904AE3">
      <w:pPr>
        <w:pStyle w:val="ListParagraph"/>
        <w:numPr>
          <w:ilvl w:val="0"/>
          <w:numId w:val="25"/>
        </w:numPr>
        <w:spacing w:before="240"/>
        <w:rPr>
          <w:rFonts w:ascii="Times New Roman" w:hAnsi="Times New Roman" w:cs="Times New Roman"/>
          <w:sz w:val="24"/>
          <w:szCs w:val="24"/>
        </w:rPr>
      </w:pPr>
      <w:r w:rsidRPr="00777073">
        <w:rPr>
          <w:rFonts w:ascii="Times New Roman" w:hAnsi="Times New Roman" w:cs="Times New Roman"/>
          <w:sz w:val="24"/>
          <w:szCs w:val="24"/>
        </w:rPr>
        <w:t>All prerequisite math, science, and social science course must be completed at Trinity has resulted in transfer students having to retake courses</w:t>
      </w:r>
    </w:p>
    <w:p w:rsidR="00904AE3" w:rsidRPr="00777073" w:rsidRDefault="00904AE3" w:rsidP="00904AE3">
      <w:pPr>
        <w:pStyle w:val="ListParagraph"/>
        <w:numPr>
          <w:ilvl w:val="0"/>
          <w:numId w:val="25"/>
        </w:numPr>
        <w:spacing w:before="240"/>
        <w:rPr>
          <w:rFonts w:ascii="Times New Roman" w:hAnsi="Times New Roman" w:cs="Times New Roman"/>
          <w:sz w:val="24"/>
          <w:szCs w:val="24"/>
        </w:rPr>
      </w:pPr>
      <w:r w:rsidRPr="00777073">
        <w:rPr>
          <w:rFonts w:ascii="Times New Roman" w:hAnsi="Times New Roman" w:cs="Times New Roman"/>
          <w:sz w:val="24"/>
          <w:szCs w:val="24"/>
        </w:rPr>
        <w:t>No prior credits more than two years old will be accepted to fulfill general education requirements affects students who may have to take a break from school for a number of reasons</w:t>
      </w:r>
    </w:p>
    <w:p w:rsidR="00904AE3" w:rsidRPr="00777073" w:rsidRDefault="00904AE3" w:rsidP="00904AE3">
      <w:pPr>
        <w:spacing w:before="240"/>
        <w:rPr>
          <w:rFonts w:ascii="Times New Roman" w:hAnsi="Times New Roman" w:cs="Times New Roman"/>
          <w:sz w:val="24"/>
          <w:szCs w:val="24"/>
        </w:rPr>
      </w:pPr>
      <w:r w:rsidRPr="00777073">
        <w:rPr>
          <w:rFonts w:ascii="Times New Roman" w:hAnsi="Times New Roman" w:cs="Times New Roman"/>
          <w:i/>
          <w:sz w:val="24"/>
          <w:szCs w:val="24"/>
        </w:rPr>
        <w:t>Progress:</w:t>
      </w:r>
      <w:r w:rsidRPr="00777073">
        <w:rPr>
          <w:rFonts w:ascii="Times New Roman" w:hAnsi="Times New Roman" w:cs="Times New Roman"/>
          <w:sz w:val="24"/>
          <w:szCs w:val="24"/>
        </w:rPr>
        <w:t xml:space="preserve">  A total of 67 CAS, SPS, and NCAN students applied for admission for the Fall 2013 term. Of that number, 13 (19.4%) represented the College of Arts and Sciences, down from 31% and 28% for Fall 2012 and Spring 2013 respectively.  While the number of CAS students accepted into the program increased from six to seven for Fall 2012, it remained constant for Spring and Fall 2013.  This constant represented an increase in the overall percentage of CAS students accepted (23% for Fall 2013, up from 20% for Fall 2012).</w:t>
      </w:r>
    </w:p>
    <w:p w:rsidR="00084232" w:rsidRDefault="00084232" w:rsidP="00904AE3">
      <w:pPr>
        <w:spacing w:before="240"/>
        <w:jc w:val="center"/>
        <w:rPr>
          <w:rFonts w:ascii="Times New Roman" w:hAnsi="Times New Roman" w:cs="Times New Roman"/>
          <w:b/>
          <w:sz w:val="24"/>
          <w:szCs w:val="24"/>
        </w:rPr>
      </w:pPr>
    </w:p>
    <w:p w:rsidR="00084232" w:rsidRDefault="00084232" w:rsidP="00904AE3">
      <w:pPr>
        <w:spacing w:before="240"/>
        <w:jc w:val="center"/>
        <w:rPr>
          <w:rFonts w:ascii="Times New Roman" w:hAnsi="Times New Roman" w:cs="Times New Roman"/>
          <w:b/>
          <w:sz w:val="24"/>
          <w:szCs w:val="24"/>
        </w:rPr>
      </w:pPr>
    </w:p>
    <w:p w:rsidR="00084232" w:rsidRDefault="00084232" w:rsidP="00904AE3">
      <w:pPr>
        <w:spacing w:before="240"/>
        <w:jc w:val="center"/>
        <w:rPr>
          <w:rFonts w:ascii="Times New Roman" w:hAnsi="Times New Roman" w:cs="Times New Roman"/>
          <w:b/>
          <w:sz w:val="24"/>
          <w:szCs w:val="24"/>
        </w:rPr>
      </w:pPr>
    </w:p>
    <w:p w:rsidR="00084232" w:rsidRDefault="00084232" w:rsidP="00904AE3">
      <w:pPr>
        <w:spacing w:before="240"/>
        <w:jc w:val="center"/>
        <w:rPr>
          <w:rFonts w:ascii="Times New Roman" w:hAnsi="Times New Roman" w:cs="Times New Roman"/>
          <w:b/>
          <w:sz w:val="24"/>
          <w:szCs w:val="24"/>
        </w:rPr>
      </w:pPr>
    </w:p>
    <w:p w:rsidR="00904AE3" w:rsidRPr="00777073" w:rsidRDefault="00084232" w:rsidP="00084232">
      <w:pPr>
        <w:spacing w:before="240"/>
        <w:rPr>
          <w:rFonts w:ascii="Times New Roman" w:hAnsi="Times New Roman" w:cs="Times New Roman"/>
          <w:sz w:val="24"/>
          <w:szCs w:val="24"/>
        </w:rPr>
      </w:pPr>
      <w:r w:rsidRPr="00084232">
        <w:rPr>
          <w:rFonts w:ascii="Times New Roman" w:hAnsi="Times New Roman" w:cs="Times New Roman"/>
          <w:sz w:val="24"/>
          <w:szCs w:val="24"/>
        </w:rPr>
        <w:t>Figure 1:</w:t>
      </w:r>
      <w:r>
        <w:rPr>
          <w:rFonts w:ascii="Times New Roman" w:hAnsi="Times New Roman" w:cs="Times New Roman"/>
          <w:b/>
          <w:sz w:val="24"/>
          <w:szCs w:val="24"/>
        </w:rPr>
        <w:t xml:space="preserve">  </w:t>
      </w:r>
      <w:r w:rsidR="00904AE3" w:rsidRPr="00777073">
        <w:rPr>
          <w:rFonts w:ascii="Times New Roman" w:hAnsi="Times New Roman" w:cs="Times New Roman"/>
          <w:sz w:val="24"/>
          <w:szCs w:val="24"/>
        </w:rPr>
        <w:t>Nursing Cohort Acceptance Rates</w:t>
      </w:r>
    </w:p>
    <w:p w:rsidR="00904AE3" w:rsidRPr="00777073" w:rsidRDefault="00904AE3" w:rsidP="00904AE3">
      <w:pPr>
        <w:spacing w:before="240"/>
        <w:rPr>
          <w:rFonts w:ascii="Times New Roman" w:hAnsi="Times New Roman" w:cs="Times New Roman"/>
          <w:sz w:val="24"/>
          <w:szCs w:val="24"/>
        </w:rPr>
      </w:pPr>
      <w:r w:rsidRPr="00777073">
        <w:rPr>
          <w:rFonts w:ascii="Times New Roman" w:hAnsi="Times New Roman" w:cs="Times New Roman"/>
          <w:noProof/>
          <w:sz w:val="24"/>
          <w:szCs w:val="24"/>
        </w:rPr>
        <w:drawing>
          <wp:inline distT="0" distB="0" distL="0" distR="0">
            <wp:extent cx="5953125" cy="2085975"/>
            <wp:effectExtent l="0" t="0" r="9525" b="9525"/>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04AE3" w:rsidRPr="00777073" w:rsidRDefault="00904AE3" w:rsidP="00904AE3">
      <w:pPr>
        <w:spacing w:before="240"/>
        <w:rPr>
          <w:rFonts w:ascii="Times New Roman" w:hAnsi="Times New Roman" w:cs="Times New Roman"/>
          <w:sz w:val="24"/>
          <w:szCs w:val="24"/>
        </w:rPr>
      </w:pPr>
      <w:r w:rsidRPr="00777073">
        <w:rPr>
          <w:rFonts w:ascii="Times New Roman" w:hAnsi="Times New Roman" w:cs="Times New Roman"/>
          <w:sz w:val="24"/>
          <w:szCs w:val="24"/>
        </w:rPr>
        <w:t>Twenty-five CAS students applied for admission for Fall 2012 and Spring 2013; that number dropped to 13 for Fall 2013.  The drop in the number of CAS students applying for admission to the nursing program may be attributed to the recent policy changes.</w:t>
      </w:r>
    </w:p>
    <w:p w:rsidR="00904AE3" w:rsidRPr="00777073" w:rsidRDefault="00904AE3" w:rsidP="00904AE3">
      <w:pPr>
        <w:spacing w:before="240"/>
        <w:rPr>
          <w:rFonts w:ascii="Times New Roman" w:hAnsi="Times New Roman" w:cs="Times New Roman"/>
          <w:sz w:val="24"/>
          <w:szCs w:val="24"/>
        </w:rPr>
      </w:pPr>
      <w:r w:rsidRPr="00777073">
        <w:rPr>
          <w:rFonts w:ascii="Times New Roman" w:hAnsi="Times New Roman" w:cs="Times New Roman"/>
          <w:sz w:val="24"/>
          <w:szCs w:val="24"/>
        </w:rPr>
        <w:t>Here is a complete breakdown for Fall 2013:</w:t>
      </w:r>
    </w:p>
    <w:p w:rsidR="00904AE3" w:rsidRPr="00777073" w:rsidRDefault="00904AE3" w:rsidP="00904AE3">
      <w:pPr>
        <w:pStyle w:val="ListParagraph"/>
        <w:numPr>
          <w:ilvl w:val="0"/>
          <w:numId w:val="26"/>
        </w:numPr>
        <w:spacing w:before="240"/>
        <w:rPr>
          <w:rFonts w:ascii="Times New Roman" w:hAnsi="Times New Roman" w:cs="Times New Roman"/>
          <w:sz w:val="24"/>
          <w:szCs w:val="24"/>
        </w:rPr>
      </w:pPr>
      <w:r w:rsidRPr="00777073">
        <w:rPr>
          <w:rFonts w:ascii="Times New Roman" w:hAnsi="Times New Roman" w:cs="Times New Roman"/>
          <w:sz w:val="24"/>
          <w:szCs w:val="24"/>
        </w:rPr>
        <w:t>30 of 67 students were admitted into the program represents 44.7% of all students who applied</w:t>
      </w:r>
    </w:p>
    <w:p w:rsidR="00904AE3" w:rsidRPr="00777073" w:rsidRDefault="00904AE3" w:rsidP="00904AE3">
      <w:pPr>
        <w:pStyle w:val="ListParagraph"/>
        <w:numPr>
          <w:ilvl w:val="0"/>
          <w:numId w:val="26"/>
        </w:numPr>
        <w:spacing w:before="240"/>
        <w:rPr>
          <w:rFonts w:ascii="Times New Roman" w:hAnsi="Times New Roman" w:cs="Times New Roman"/>
          <w:sz w:val="24"/>
          <w:szCs w:val="24"/>
        </w:rPr>
      </w:pPr>
      <w:r w:rsidRPr="00777073">
        <w:rPr>
          <w:rFonts w:ascii="Times New Roman" w:hAnsi="Times New Roman" w:cs="Times New Roman"/>
          <w:sz w:val="24"/>
          <w:szCs w:val="24"/>
        </w:rPr>
        <w:t>More than half or 55.2% of those students who applied were denied admittance into the program</w:t>
      </w:r>
    </w:p>
    <w:p w:rsidR="00904AE3" w:rsidRPr="00777073" w:rsidRDefault="00904AE3" w:rsidP="00904AE3">
      <w:pPr>
        <w:pStyle w:val="ListParagraph"/>
        <w:numPr>
          <w:ilvl w:val="0"/>
          <w:numId w:val="26"/>
        </w:numPr>
        <w:spacing w:before="240"/>
        <w:rPr>
          <w:rFonts w:ascii="Times New Roman" w:hAnsi="Times New Roman" w:cs="Times New Roman"/>
          <w:sz w:val="24"/>
          <w:szCs w:val="24"/>
        </w:rPr>
      </w:pPr>
      <w:r w:rsidRPr="00777073">
        <w:rPr>
          <w:rFonts w:ascii="Times New Roman" w:hAnsi="Times New Roman" w:cs="Times New Roman"/>
          <w:sz w:val="24"/>
          <w:szCs w:val="24"/>
        </w:rPr>
        <w:t>54% of the CAS students who applied were admitted (7 of 13)</w:t>
      </w:r>
    </w:p>
    <w:p w:rsidR="00904AE3" w:rsidRPr="00777073" w:rsidRDefault="00904AE3" w:rsidP="00904AE3">
      <w:pPr>
        <w:pStyle w:val="ListParagraph"/>
        <w:numPr>
          <w:ilvl w:val="0"/>
          <w:numId w:val="26"/>
        </w:numPr>
        <w:spacing w:before="240"/>
        <w:rPr>
          <w:rFonts w:ascii="Times New Roman" w:hAnsi="Times New Roman" w:cs="Times New Roman"/>
          <w:sz w:val="24"/>
          <w:szCs w:val="24"/>
        </w:rPr>
      </w:pPr>
      <w:r w:rsidRPr="00777073">
        <w:rPr>
          <w:rFonts w:ascii="Times New Roman" w:hAnsi="Times New Roman" w:cs="Times New Roman"/>
          <w:sz w:val="24"/>
          <w:szCs w:val="24"/>
        </w:rPr>
        <w:t>46% or 6 of 13 were denied</w:t>
      </w:r>
    </w:p>
    <w:p w:rsidR="00904AE3" w:rsidRPr="00777073" w:rsidRDefault="00904AE3" w:rsidP="00904AE3">
      <w:pPr>
        <w:pStyle w:val="ListParagraph"/>
        <w:numPr>
          <w:ilvl w:val="0"/>
          <w:numId w:val="26"/>
        </w:numPr>
        <w:spacing w:before="240"/>
        <w:rPr>
          <w:rFonts w:ascii="Times New Roman" w:hAnsi="Times New Roman" w:cs="Times New Roman"/>
          <w:sz w:val="24"/>
          <w:szCs w:val="24"/>
        </w:rPr>
      </w:pPr>
      <w:r w:rsidRPr="00777073">
        <w:rPr>
          <w:rFonts w:ascii="Times New Roman" w:hAnsi="Times New Roman" w:cs="Times New Roman"/>
          <w:sz w:val="24"/>
          <w:szCs w:val="24"/>
        </w:rPr>
        <w:t>CAS students represent 19.4% of all students who applied (13 of 67); additionally they represent 23% of all students who were accepted (7 of 30)</w:t>
      </w:r>
    </w:p>
    <w:p w:rsidR="00904AE3" w:rsidRPr="00777073" w:rsidRDefault="00904AE3" w:rsidP="00904AE3">
      <w:pPr>
        <w:pStyle w:val="ListParagraph"/>
        <w:numPr>
          <w:ilvl w:val="0"/>
          <w:numId w:val="26"/>
        </w:numPr>
        <w:spacing w:before="240"/>
        <w:rPr>
          <w:rFonts w:ascii="Times New Roman" w:hAnsi="Times New Roman" w:cs="Times New Roman"/>
          <w:sz w:val="24"/>
          <w:szCs w:val="24"/>
        </w:rPr>
      </w:pPr>
      <w:r w:rsidRPr="00777073">
        <w:rPr>
          <w:rFonts w:ascii="Times New Roman" w:hAnsi="Times New Roman" w:cs="Times New Roman"/>
          <w:sz w:val="24"/>
          <w:szCs w:val="24"/>
        </w:rPr>
        <w:t xml:space="preserve">7 CAS students who gained admittance in the program of the total number of 67 students who applied represents 10.4% of the total number of accepted students </w:t>
      </w:r>
    </w:p>
    <w:p w:rsidR="00904AE3" w:rsidRPr="00777073" w:rsidRDefault="00904AE3" w:rsidP="00904AE3">
      <w:pPr>
        <w:rPr>
          <w:rFonts w:ascii="Times New Roman" w:hAnsi="Times New Roman" w:cs="Times New Roman"/>
          <w:b/>
          <w:sz w:val="24"/>
          <w:szCs w:val="24"/>
        </w:rPr>
      </w:pPr>
      <w:r w:rsidRPr="00777073">
        <w:rPr>
          <w:rFonts w:ascii="Times New Roman" w:hAnsi="Times New Roman" w:cs="Times New Roman"/>
          <w:b/>
          <w:sz w:val="24"/>
          <w:szCs w:val="24"/>
        </w:rPr>
        <w:t>Goals for 2013-2014</w:t>
      </w:r>
    </w:p>
    <w:p w:rsidR="00904AE3" w:rsidRPr="00777073" w:rsidRDefault="00904AE3" w:rsidP="00904AE3">
      <w:pPr>
        <w:pStyle w:val="ListParagraph"/>
        <w:numPr>
          <w:ilvl w:val="0"/>
          <w:numId w:val="27"/>
        </w:numPr>
        <w:rPr>
          <w:rFonts w:ascii="Times New Roman" w:hAnsi="Times New Roman" w:cs="Times New Roman"/>
          <w:sz w:val="24"/>
          <w:szCs w:val="24"/>
        </w:rPr>
      </w:pPr>
      <w:r w:rsidRPr="00777073">
        <w:rPr>
          <w:rFonts w:ascii="Times New Roman" w:hAnsi="Times New Roman" w:cs="Times New Roman"/>
          <w:sz w:val="24"/>
          <w:szCs w:val="24"/>
        </w:rPr>
        <w:t>Continue to communicate with the faculty regarding the purpose and importance of appropriately employing the Early Alert system as a viable intervention</w:t>
      </w:r>
    </w:p>
    <w:p w:rsidR="00904AE3" w:rsidRPr="00777073" w:rsidRDefault="00904AE3" w:rsidP="00904AE3">
      <w:pPr>
        <w:pStyle w:val="ListParagraph"/>
        <w:numPr>
          <w:ilvl w:val="0"/>
          <w:numId w:val="27"/>
        </w:numPr>
        <w:rPr>
          <w:rFonts w:ascii="Times New Roman" w:hAnsi="Times New Roman" w:cs="Times New Roman"/>
          <w:sz w:val="24"/>
          <w:szCs w:val="24"/>
        </w:rPr>
      </w:pPr>
      <w:r w:rsidRPr="00777073">
        <w:rPr>
          <w:rFonts w:ascii="Times New Roman" w:hAnsi="Times New Roman" w:cs="Times New Roman"/>
          <w:sz w:val="24"/>
          <w:szCs w:val="24"/>
        </w:rPr>
        <w:t>Collaborate more effectively with Academic Services to craft strategies to support those at-risk students identified through Early Alerts</w:t>
      </w:r>
    </w:p>
    <w:p w:rsidR="00904AE3" w:rsidRPr="00777073" w:rsidRDefault="00904AE3" w:rsidP="00904AE3">
      <w:pPr>
        <w:pStyle w:val="ListParagraph"/>
        <w:numPr>
          <w:ilvl w:val="0"/>
          <w:numId w:val="27"/>
        </w:numPr>
        <w:rPr>
          <w:rFonts w:ascii="Times New Roman" w:hAnsi="Times New Roman" w:cs="Times New Roman"/>
          <w:sz w:val="24"/>
          <w:szCs w:val="24"/>
        </w:rPr>
      </w:pPr>
      <w:r w:rsidRPr="00777073">
        <w:rPr>
          <w:rFonts w:ascii="Times New Roman" w:hAnsi="Times New Roman" w:cs="Times New Roman"/>
          <w:sz w:val="24"/>
          <w:szCs w:val="24"/>
        </w:rPr>
        <w:t xml:space="preserve">Continue to partner with the School of Nursing and Health Professions to promote student awareness regarding policy and procedural changes including creative and personalized approaches to improving students’ GPAs and TEAS scores </w:t>
      </w:r>
    </w:p>
    <w:p w:rsidR="00904AE3" w:rsidRPr="00777073" w:rsidRDefault="00904AE3" w:rsidP="008A0FDC">
      <w:pPr>
        <w:rPr>
          <w:rFonts w:ascii="Times New Roman" w:hAnsi="Times New Roman" w:cs="Times New Roman"/>
          <w:sz w:val="24"/>
          <w:szCs w:val="24"/>
        </w:rPr>
      </w:pPr>
    </w:p>
    <w:p w:rsidR="004173A6" w:rsidRPr="00777073" w:rsidRDefault="005C1425" w:rsidP="004173A6">
      <w:pPr>
        <w:rPr>
          <w:rFonts w:ascii="Times New Roman" w:hAnsi="Times New Roman" w:cs="Times New Roman"/>
          <w:b/>
          <w:sz w:val="24"/>
          <w:szCs w:val="24"/>
        </w:rPr>
      </w:pPr>
      <w:r w:rsidRPr="00777073">
        <w:rPr>
          <w:rFonts w:ascii="Times New Roman" w:hAnsi="Times New Roman" w:cs="Times New Roman"/>
          <w:b/>
          <w:sz w:val="24"/>
          <w:szCs w:val="24"/>
        </w:rPr>
        <w:t>The Fall 2012 and Spring 2013 NURS admitted cohort:  Data and analyses</w:t>
      </w:r>
    </w:p>
    <w:p w:rsidR="005C1425" w:rsidRPr="00777073" w:rsidRDefault="00CF7CBE" w:rsidP="004173A6">
      <w:pPr>
        <w:pStyle w:val="ListParagraph"/>
        <w:numPr>
          <w:ilvl w:val="0"/>
          <w:numId w:val="11"/>
        </w:numPr>
        <w:rPr>
          <w:rFonts w:ascii="Times New Roman" w:hAnsi="Times New Roman" w:cs="Times New Roman"/>
          <w:sz w:val="24"/>
          <w:szCs w:val="24"/>
        </w:rPr>
      </w:pPr>
      <w:r w:rsidRPr="00777073">
        <w:rPr>
          <w:rFonts w:ascii="Times New Roman" w:hAnsi="Times New Roman" w:cs="Times New Roman"/>
          <w:sz w:val="24"/>
          <w:szCs w:val="24"/>
        </w:rPr>
        <w:t>Number of CAS students who applied to the Nursing Program for Fall 201</w:t>
      </w:r>
      <w:r w:rsidR="005A317F" w:rsidRPr="00777073">
        <w:rPr>
          <w:rFonts w:ascii="Times New Roman" w:hAnsi="Times New Roman" w:cs="Times New Roman"/>
          <w:sz w:val="24"/>
          <w:szCs w:val="24"/>
        </w:rPr>
        <w:t>2</w:t>
      </w:r>
      <w:r w:rsidRPr="00777073">
        <w:rPr>
          <w:rFonts w:ascii="Times New Roman" w:hAnsi="Times New Roman" w:cs="Times New Roman"/>
          <w:sz w:val="24"/>
          <w:szCs w:val="24"/>
        </w:rPr>
        <w:t xml:space="preserve"> admittance:</w:t>
      </w:r>
    </w:p>
    <w:p w:rsidR="005C1425" w:rsidRPr="00777073" w:rsidRDefault="005C1425" w:rsidP="005C1425">
      <w:pPr>
        <w:pStyle w:val="ListParagraph"/>
        <w:numPr>
          <w:ilvl w:val="1"/>
          <w:numId w:val="11"/>
        </w:numPr>
        <w:rPr>
          <w:rFonts w:ascii="Times New Roman" w:hAnsi="Times New Roman" w:cs="Times New Roman"/>
          <w:sz w:val="24"/>
          <w:szCs w:val="24"/>
        </w:rPr>
      </w:pPr>
      <w:r w:rsidRPr="00777073">
        <w:rPr>
          <w:rFonts w:ascii="Times New Roman" w:hAnsi="Times New Roman" w:cs="Times New Roman"/>
          <w:sz w:val="24"/>
          <w:szCs w:val="24"/>
        </w:rPr>
        <w:t xml:space="preserve">Of 81 total student applications, 25 were from CAS (31%); </w:t>
      </w:r>
    </w:p>
    <w:p w:rsidR="005C1425" w:rsidRPr="00777073" w:rsidRDefault="005C1425" w:rsidP="005C1425">
      <w:pPr>
        <w:pStyle w:val="ListParagraph"/>
        <w:numPr>
          <w:ilvl w:val="1"/>
          <w:numId w:val="11"/>
        </w:numPr>
        <w:rPr>
          <w:rFonts w:ascii="Times New Roman" w:hAnsi="Times New Roman" w:cs="Times New Roman"/>
          <w:sz w:val="24"/>
          <w:szCs w:val="24"/>
        </w:rPr>
      </w:pPr>
      <w:r w:rsidRPr="00777073">
        <w:rPr>
          <w:rFonts w:ascii="Times New Roman" w:hAnsi="Times New Roman" w:cs="Times New Roman"/>
          <w:sz w:val="24"/>
          <w:szCs w:val="24"/>
        </w:rPr>
        <w:t>Of 30 admitted students, 6 were CAS students (2%).</w:t>
      </w:r>
    </w:p>
    <w:p w:rsidR="005C1425" w:rsidRPr="00777073" w:rsidRDefault="005C1425" w:rsidP="004173A6">
      <w:pPr>
        <w:pStyle w:val="ListParagraph"/>
        <w:numPr>
          <w:ilvl w:val="0"/>
          <w:numId w:val="11"/>
        </w:numPr>
        <w:rPr>
          <w:rFonts w:ascii="Times New Roman" w:hAnsi="Times New Roman" w:cs="Times New Roman"/>
          <w:sz w:val="24"/>
          <w:szCs w:val="24"/>
        </w:rPr>
      </w:pPr>
      <w:r w:rsidRPr="00777073">
        <w:rPr>
          <w:rFonts w:ascii="Times New Roman" w:hAnsi="Times New Roman" w:cs="Times New Roman"/>
          <w:sz w:val="24"/>
          <w:szCs w:val="24"/>
        </w:rPr>
        <w:t>Number of CAS students who applied to the Nursing Program for Spring 2013 admittance:</w:t>
      </w:r>
    </w:p>
    <w:p w:rsidR="005C1425" w:rsidRPr="00777073" w:rsidRDefault="005C1425" w:rsidP="005C1425">
      <w:pPr>
        <w:pStyle w:val="ListParagraph"/>
        <w:numPr>
          <w:ilvl w:val="1"/>
          <w:numId w:val="11"/>
        </w:numPr>
        <w:rPr>
          <w:rFonts w:ascii="Times New Roman" w:hAnsi="Times New Roman" w:cs="Times New Roman"/>
          <w:sz w:val="24"/>
          <w:szCs w:val="24"/>
        </w:rPr>
      </w:pPr>
      <w:r w:rsidRPr="00777073">
        <w:rPr>
          <w:rFonts w:ascii="Times New Roman" w:hAnsi="Times New Roman" w:cs="Times New Roman"/>
          <w:sz w:val="24"/>
          <w:szCs w:val="24"/>
        </w:rPr>
        <w:t>Of 88 total student applications, 25 were from CAS (28%)</w:t>
      </w:r>
    </w:p>
    <w:p w:rsidR="00CF7CBE" w:rsidRPr="00777073" w:rsidRDefault="005C1425" w:rsidP="005C1425">
      <w:pPr>
        <w:pStyle w:val="ListParagraph"/>
        <w:numPr>
          <w:ilvl w:val="1"/>
          <w:numId w:val="11"/>
        </w:numPr>
        <w:rPr>
          <w:rFonts w:ascii="Times New Roman" w:hAnsi="Times New Roman" w:cs="Times New Roman"/>
          <w:sz w:val="24"/>
          <w:szCs w:val="24"/>
        </w:rPr>
      </w:pPr>
      <w:r w:rsidRPr="00777073">
        <w:rPr>
          <w:rFonts w:ascii="Times New Roman" w:hAnsi="Times New Roman" w:cs="Times New Roman"/>
          <w:sz w:val="24"/>
          <w:szCs w:val="24"/>
        </w:rPr>
        <w:t>Of 30 confirmed students, 7 were from CAS (23%)</w:t>
      </w:r>
    </w:p>
    <w:p w:rsidR="005C1425" w:rsidRPr="00777073" w:rsidRDefault="004173A6" w:rsidP="005C1425">
      <w:pPr>
        <w:pStyle w:val="ListParagraph"/>
        <w:numPr>
          <w:ilvl w:val="0"/>
          <w:numId w:val="11"/>
        </w:numPr>
        <w:rPr>
          <w:rFonts w:ascii="Times New Roman" w:hAnsi="Times New Roman" w:cs="Times New Roman"/>
          <w:sz w:val="24"/>
          <w:szCs w:val="24"/>
        </w:rPr>
      </w:pPr>
      <w:r w:rsidRPr="00777073">
        <w:rPr>
          <w:rFonts w:ascii="Times New Roman" w:hAnsi="Times New Roman" w:cs="Times New Roman"/>
          <w:sz w:val="24"/>
          <w:szCs w:val="24"/>
        </w:rPr>
        <w:t>With regards to academic standing:</w:t>
      </w:r>
    </w:p>
    <w:p w:rsidR="005C1425" w:rsidRPr="00777073" w:rsidRDefault="005A317F" w:rsidP="005C1425">
      <w:pPr>
        <w:pStyle w:val="ListParagraph"/>
        <w:numPr>
          <w:ilvl w:val="1"/>
          <w:numId w:val="11"/>
        </w:numPr>
        <w:rPr>
          <w:rFonts w:ascii="Times New Roman" w:hAnsi="Times New Roman" w:cs="Times New Roman"/>
          <w:sz w:val="24"/>
          <w:szCs w:val="24"/>
        </w:rPr>
      </w:pPr>
      <w:r w:rsidRPr="00777073">
        <w:rPr>
          <w:rFonts w:ascii="Times New Roman" w:hAnsi="Times New Roman" w:cs="Times New Roman"/>
          <w:sz w:val="24"/>
          <w:szCs w:val="24"/>
        </w:rPr>
        <w:t>There were no</w:t>
      </w:r>
      <w:r w:rsidR="004173A6" w:rsidRPr="00777073">
        <w:rPr>
          <w:rFonts w:ascii="Times New Roman" w:hAnsi="Times New Roman" w:cs="Times New Roman"/>
          <w:sz w:val="24"/>
          <w:szCs w:val="24"/>
        </w:rPr>
        <w:t xml:space="preserve"> </w:t>
      </w:r>
      <w:r w:rsidR="00CF7CBE" w:rsidRPr="00777073">
        <w:rPr>
          <w:rFonts w:ascii="Times New Roman" w:hAnsi="Times New Roman" w:cs="Times New Roman"/>
          <w:sz w:val="24"/>
          <w:szCs w:val="24"/>
        </w:rPr>
        <w:t>UND-N</w:t>
      </w:r>
      <w:r w:rsidR="004173A6" w:rsidRPr="00777073">
        <w:rPr>
          <w:rFonts w:ascii="Times New Roman" w:hAnsi="Times New Roman" w:cs="Times New Roman"/>
          <w:sz w:val="24"/>
          <w:szCs w:val="24"/>
        </w:rPr>
        <w:t xml:space="preserve"> advisees </w:t>
      </w:r>
      <w:r w:rsidRPr="00777073">
        <w:rPr>
          <w:rFonts w:ascii="Times New Roman" w:hAnsi="Times New Roman" w:cs="Times New Roman"/>
          <w:sz w:val="24"/>
          <w:szCs w:val="24"/>
        </w:rPr>
        <w:t>with</w:t>
      </w:r>
      <w:r w:rsidR="004173A6" w:rsidRPr="00777073">
        <w:rPr>
          <w:rFonts w:ascii="Times New Roman" w:hAnsi="Times New Roman" w:cs="Times New Roman"/>
          <w:sz w:val="24"/>
          <w:szCs w:val="24"/>
        </w:rPr>
        <w:t xml:space="preserve"> midterm alerts. </w:t>
      </w:r>
    </w:p>
    <w:p w:rsidR="00633C0F" w:rsidRPr="00777073" w:rsidRDefault="004173A6" w:rsidP="005C1425">
      <w:pPr>
        <w:pStyle w:val="ListParagraph"/>
        <w:numPr>
          <w:ilvl w:val="1"/>
          <w:numId w:val="11"/>
        </w:numPr>
        <w:rPr>
          <w:rFonts w:ascii="Times New Roman" w:hAnsi="Times New Roman" w:cs="Times New Roman"/>
          <w:sz w:val="24"/>
          <w:szCs w:val="24"/>
        </w:rPr>
      </w:pPr>
      <w:r w:rsidRPr="00777073">
        <w:rPr>
          <w:rFonts w:ascii="Times New Roman" w:hAnsi="Times New Roman" w:cs="Times New Roman"/>
          <w:sz w:val="24"/>
          <w:szCs w:val="24"/>
        </w:rPr>
        <w:t xml:space="preserve">The average GPA of </w:t>
      </w:r>
      <w:r w:rsidR="00633C0F" w:rsidRPr="00777073">
        <w:rPr>
          <w:rFonts w:ascii="Times New Roman" w:hAnsi="Times New Roman" w:cs="Times New Roman"/>
          <w:sz w:val="24"/>
          <w:szCs w:val="24"/>
        </w:rPr>
        <w:t xml:space="preserve">the UND-N professional advising cohort </w:t>
      </w:r>
      <w:r w:rsidRPr="00777073">
        <w:rPr>
          <w:rFonts w:ascii="Times New Roman" w:hAnsi="Times New Roman" w:cs="Times New Roman"/>
          <w:sz w:val="24"/>
          <w:szCs w:val="24"/>
        </w:rPr>
        <w:t>is 2.</w:t>
      </w:r>
      <w:r w:rsidR="005C1425" w:rsidRPr="00777073">
        <w:rPr>
          <w:rFonts w:ascii="Times New Roman" w:hAnsi="Times New Roman" w:cs="Times New Roman"/>
          <w:sz w:val="24"/>
          <w:szCs w:val="24"/>
        </w:rPr>
        <w:t>9</w:t>
      </w:r>
      <w:r w:rsidRPr="00777073">
        <w:rPr>
          <w:rFonts w:ascii="Times New Roman" w:hAnsi="Times New Roman" w:cs="Times New Roman"/>
          <w:sz w:val="24"/>
          <w:szCs w:val="24"/>
        </w:rPr>
        <w:t xml:space="preserve">. </w:t>
      </w:r>
    </w:p>
    <w:p w:rsidR="005C1425" w:rsidRPr="00777073" w:rsidRDefault="004173A6" w:rsidP="005C1425">
      <w:pPr>
        <w:pStyle w:val="ListParagraph"/>
        <w:numPr>
          <w:ilvl w:val="0"/>
          <w:numId w:val="11"/>
        </w:numPr>
        <w:rPr>
          <w:rFonts w:ascii="Times New Roman" w:hAnsi="Times New Roman" w:cs="Times New Roman"/>
          <w:sz w:val="24"/>
          <w:szCs w:val="24"/>
        </w:rPr>
      </w:pPr>
      <w:r w:rsidRPr="00777073">
        <w:rPr>
          <w:rFonts w:ascii="Times New Roman" w:hAnsi="Times New Roman" w:cs="Times New Roman"/>
          <w:sz w:val="24"/>
          <w:szCs w:val="24"/>
        </w:rPr>
        <w:t>Conclusions:</w:t>
      </w:r>
    </w:p>
    <w:p w:rsidR="005C1425" w:rsidRPr="00777073" w:rsidRDefault="004173A6" w:rsidP="005C1425">
      <w:pPr>
        <w:pStyle w:val="ListParagraph"/>
        <w:numPr>
          <w:ilvl w:val="1"/>
          <w:numId w:val="11"/>
        </w:numPr>
        <w:rPr>
          <w:rFonts w:ascii="Times New Roman" w:hAnsi="Times New Roman" w:cs="Times New Roman"/>
          <w:sz w:val="24"/>
          <w:szCs w:val="24"/>
        </w:rPr>
      </w:pPr>
      <w:r w:rsidRPr="00777073">
        <w:rPr>
          <w:rFonts w:ascii="Times New Roman" w:hAnsi="Times New Roman" w:cs="Times New Roman"/>
          <w:sz w:val="24"/>
          <w:szCs w:val="24"/>
        </w:rPr>
        <w:t xml:space="preserve">We need to </w:t>
      </w:r>
      <w:r w:rsidR="005C1425" w:rsidRPr="00777073">
        <w:rPr>
          <w:rFonts w:ascii="Times New Roman" w:hAnsi="Times New Roman" w:cs="Times New Roman"/>
          <w:sz w:val="24"/>
          <w:szCs w:val="24"/>
        </w:rPr>
        <w:t>increase</w:t>
      </w:r>
      <w:r w:rsidRPr="00777073">
        <w:rPr>
          <w:rFonts w:ascii="Times New Roman" w:hAnsi="Times New Roman" w:cs="Times New Roman"/>
          <w:sz w:val="24"/>
          <w:szCs w:val="24"/>
        </w:rPr>
        <w:t xml:space="preserve"> t</w:t>
      </w:r>
      <w:r w:rsidR="005C1425" w:rsidRPr="00777073">
        <w:rPr>
          <w:rFonts w:ascii="Times New Roman" w:hAnsi="Times New Roman" w:cs="Times New Roman"/>
          <w:sz w:val="24"/>
          <w:szCs w:val="24"/>
        </w:rPr>
        <w:t xml:space="preserve">he average UND-N GPA to </w:t>
      </w:r>
      <w:r w:rsidR="005A317F" w:rsidRPr="00777073">
        <w:rPr>
          <w:rFonts w:ascii="Times New Roman" w:hAnsi="Times New Roman" w:cs="Times New Roman"/>
          <w:sz w:val="24"/>
          <w:szCs w:val="24"/>
        </w:rPr>
        <w:t xml:space="preserve">3.0 – 3.5 to be competitive with </w:t>
      </w:r>
      <w:r w:rsidR="005C1425" w:rsidRPr="00777073">
        <w:rPr>
          <w:rFonts w:ascii="Times New Roman" w:hAnsi="Times New Roman" w:cs="Times New Roman"/>
          <w:sz w:val="24"/>
          <w:szCs w:val="24"/>
        </w:rPr>
        <w:t>SPS</w:t>
      </w:r>
    </w:p>
    <w:p w:rsidR="005C1425" w:rsidRPr="00777073" w:rsidRDefault="001D4889" w:rsidP="005C1425">
      <w:pPr>
        <w:pStyle w:val="ListParagraph"/>
        <w:numPr>
          <w:ilvl w:val="1"/>
          <w:numId w:val="11"/>
        </w:numPr>
        <w:rPr>
          <w:rFonts w:ascii="Times New Roman" w:hAnsi="Times New Roman" w:cs="Times New Roman"/>
          <w:sz w:val="24"/>
          <w:szCs w:val="24"/>
        </w:rPr>
      </w:pPr>
      <w:r w:rsidRPr="00777073">
        <w:rPr>
          <w:rFonts w:ascii="Times New Roman" w:hAnsi="Times New Roman" w:cs="Times New Roman"/>
          <w:sz w:val="24"/>
          <w:szCs w:val="24"/>
        </w:rPr>
        <w:t>We need to increase the average TEAS score to &gt;</w:t>
      </w:r>
      <w:r w:rsidR="005A317F" w:rsidRPr="00777073">
        <w:rPr>
          <w:rFonts w:ascii="Times New Roman" w:hAnsi="Times New Roman" w:cs="Times New Roman"/>
          <w:sz w:val="24"/>
          <w:szCs w:val="24"/>
        </w:rPr>
        <w:t xml:space="preserve"> </w:t>
      </w:r>
      <w:r w:rsidR="005C1425" w:rsidRPr="00777073">
        <w:rPr>
          <w:rFonts w:ascii="Times New Roman" w:hAnsi="Times New Roman" w:cs="Times New Roman"/>
          <w:sz w:val="24"/>
          <w:szCs w:val="24"/>
        </w:rPr>
        <w:t>80%</w:t>
      </w:r>
    </w:p>
    <w:p w:rsidR="005C1425" w:rsidRPr="00777073" w:rsidRDefault="004173A6" w:rsidP="005C1425">
      <w:pPr>
        <w:pStyle w:val="ListParagraph"/>
        <w:numPr>
          <w:ilvl w:val="1"/>
          <w:numId w:val="11"/>
        </w:numPr>
        <w:rPr>
          <w:rFonts w:ascii="Times New Roman" w:hAnsi="Times New Roman" w:cs="Times New Roman"/>
          <w:sz w:val="24"/>
          <w:szCs w:val="24"/>
        </w:rPr>
      </w:pPr>
      <w:r w:rsidRPr="00777073">
        <w:rPr>
          <w:rFonts w:ascii="Times New Roman" w:hAnsi="Times New Roman" w:cs="Times New Roman"/>
          <w:sz w:val="24"/>
          <w:szCs w:val="24"/>
        </w:rPr>
        <w:t>We need to inform students of all academic support systems</w:t>
      </w:r>
    </w:p>
    <w:p w:rsidR="004173A6" w:rsidRPr="00777073" w:rsidRDefault="004173A6" w:rsidP="005C1425">
      <w:pPr>
        <w:pStyle w:val="ListParagraph"/>
        <w:numPr>
          <w:ilvl w:val="1"/>
          <w:numId w:val="11"/>
        </w:numPr>
        <w:rPr>
          <w:rFonts w:ascii="Times New Roman" w:hAnsi="Times New Roman" w:cs="Times New Roman"/>
          <w:sz w:val="24"/>
          <w:szCs w:val="24"/>
        </w:rPr>
      </w:pPr>
      <w:r w:rsidRPr="00777073">
        <w:rPr>
          <w:rFonts w:ascii="Times New Roman" w:hAnsi="Times New Roman" w:cs="Times New Roman"/>
          <w:sz w:val="24"/>
          <w:szCs w:val="24"/>
        </w:rPr>
        <w:t xml:space="preserve">CAS students </w:t>
      </w:r>
      <w:r w:rsidR="005C1425" w:rsidRPr="00777073">
        <w:rPr>
          <w:rFonts w:ascii="Times New Roman" w:hAnsi="Times New Roman" w:cs="Times New Roman"/>
          <w:sz w:val="24"/>
          <w:szCs w:val="24"/>
        </w:rPr>
        <w:t xml:space="preserve">must be </w:t>
      </w:r>
      <w:r w:rsidRPr="00777073">
        <w:rPr>
          <w:rFonts w:ascii="Times New Roman" w:hAnsi="Times New Roman" w:cs="Times New Roman"/>
          <w:sz w:val="24"/>
          <w:szCs w:val="24"/>
        </w:rPr>
        <w:t xml:space="preserve">better prepared </w:t>
      </w:r>
      <w:r w:rsidR="00633C0F" w:rsidRPr="00777073">
        <w:rPr>
          <w:rFonts w:ascii="Times New Roman" w:hAnsi="Times New Roman" w:cs="Times New Roman"/>
          <w:sz w:val="24"/>
          <w:szCs w:val="24"/>
        </w:rPr>
        <w:t>regarding</w:t>
      </w:r>
      <w:r w:rsidRPr="00777073">
        <w:rPr>
          <w:rFonts w:ascii="Times New Roman" w:hAnsi="Times New Roman" w:cs="Times New Roman"/>
          <w:sz w:val="24"/>
          <w:szCs w:val="24"/>
        </w:rPr>
        <w:t xml:space="preserve"> expe</w:t>
      </w:r>
      <w:r w:rsidR="005C1425" w:rsidRPr="00777073">
        <w:rPr>
          <w:rFonts w:ascii="Times New Roman" w:hAnsi="Times New Roman" w:cs="Times New Roman"/>
          <w:sz w:val="24"/>
          <w:szCs w:val="24"/>
        </w:rPr>
        <w:t>ctations of the Nursing program</w:t>
      </w:r>
    </w:p>
    <w:p w:rsidR="004173A6" w:rsidRPr="00777073" w:rsidRDefault="00633C0F" w:rsidP="00E84FE5">
      <w:pPr>
        <w:spacing w:after="0" w:line="240" w:lineRule="auto"/>
        <w:rPr>
          <w:rFonts w:ascii="Times New Roman" w:hAnsi="Times New Roman" w:cs="Times New Roman"/>
          <w:b/>
          <w:sz w:val="24"/>
          <w:szCs w:val="24"/>
          <w:u w:val="single"/>
        </w:rPr>
      </w:pPr>
      <w:r w:rsidRPr="00777073">
        <w:rPr>
          <w:rFonts w:ascii="Times New Roman" w:hAnsi="Times New Roman" w:cs="Times New Roman"/>
          <w:b/>
          <w:sz w:val="24"/>
          <w:szCs w:val="24"/>
          <w:u w:val="single"/>
        </w:rPr>
        <w:t>Overall Conclusions and Recommendations</w:t>
      </w:r>
    </w:p>
    <w:p w:rsidR="00E84FE5" w:rsidRPr="00777073" w:rsidRDefault="00E84FE5" w:rsidP="00E84FE5">
      <w:pPr>
        <w:spacing w:after="0" w:line="240" w:lineRule="auto"/>
        <w:rPr>
          <w:rFonts w:ascii="Times New Roman" w:hAnsi="Times New Roman" w:cs="Times New Roman"/>
          <w:sz w:val="24"/>
          <w:szCs w:val="24"/>
        </w:rPr>
      </w:pPr>
    </w:p>
    <w:p w:rsidR="006F774A" w:rsidRPr="00777073" w:rsidRDefault="00633C0F" w:rsidP="004173A6">
      <w:pPr>
        <w:rPr>
          <w:rFonts w:ascii="Times New Roman" w:hAnsi="Times New Roman" w:cs="Times New Roman"/>
          <w:sz w:val="24"/>
          <w:szCs w:val="24"/>
        </w:rPr>
      </w:pPr>
      <w:r w:rsidRPr="00777073">
        <w:rPr>
          <w:rFonts w:ascii="Times New Roman" w:hAnsi="Times New Roman" w:cs="Times New Roman"/>
          <w:sz w:val="24"/>
          <w:szCs w:val="24"/>
        </w:rPr>
        <w:tab/>
        <w:t>CAS Professional Advisin</w:t>
      </w:r>
      <w:r w:rsidR="006F774A" w:rsidRPr="00777073">
        <w:rPr>
          <w:rFonts w:ascii="Times New Roman" w:hAnsi="Times New Roman" w:cs="Times New Roman"/>
          <w:sz w:val="24"/>
          <w:szCs w:val="24"/>
        </w:rPr>
        <w:t xml:space="preserve">g is </w:t>
      </w:r>
      <w:r w:rsidR="005C1425" w:rsidRPr="00777073">
        <w:rPr>
          <w:rFonts w:ascii="Times New Roman" w:hAnsi="Times New Roman" w:cs="Times New Roman"/>
          <w:sz w:val="24"/>
          <w:szCs w:val="24"/>
        </w:rPr>
        <w:t>constantly striving for</w:t>
      </w:r>
      <w:r w:rsidR="005A317F" w:rsidRPr="00777073">
        <w:rPr>
          <w:rFonts w:ascii="Times New Roman" w:hAnsi="Times New Roman" w:cs="Times New Roman"/>
          <w:sz w:val="24"/>
          <w:szCs w:val="24"/>
        </w:rPr>
        <w:t xml:space="preserve"> </w:t>
      </w:r>
      <w:r w:rsidRPr="00777073">
        <w:rPr>
          <w:rFonts w:ascii="Times New Roman" w:hAnsi="Times New Roman" w:cs="Times New Roman"/>
          <w:sz w:val="24"/>
          <w:szCs w:val="24"/>
        </w:rPr>
        <w:t xml:space="preserve">effective, accurate, wrap-around advising </w:t>
      </w:r>
      <w:r w:rsidR="006F774A" w:rsidRPr="00777073">
        <w:rPr>
          <w:rFonts w:ascii="Times New Roman" w:hAnsi="Times New Roman" w:cs="Times New Roman"/>
          <w:sz w:val="24"/>
          <w:szCs w:val="24"/>
        </w:rPr>
        <w:t xml:space="preserve">with the goal of </w:t>
      </w:r>
      <w:r w:rsidRPr="00777073">
        <w:rPr>
          <w:rFonts w:ascii="Times New Roman" w:hAnsi="Times New Roman" w:cs="Times New Roman"/>
          <w:sz w:val="24"/>
          <w:szCs w:val="24"/>
        </w:rPr>
        <w:t>student persistence and success in multiple measureable ways.  Better tracking and outreach in our “rolling alert” system, enhanced procedures in our probationary advising services,</w:t>
      </w:r>
      <w:r w:rsidR="006F774A" w:rsidRPr="00777073">
        <w:rPr>
          <w:rFonts w:ascii="Times New Roman" w:hAnsi="Times New Roman" w:cs="Times New Roman"/>
          <w:sz w:val="24"/>
          <w:szCs w:val="24"/>
        </w:rPr>
        <w:t xml:space="preserve"> improved Triage practices, the cohort advising model, and faculty and advisor development </w:t>
      </w:r>
      <w:r w:rsidR="005C1425" w:rsidRPr="00777073">
        <w:rPr>
          <w:rFonts w:ascii="Times New Roman" w:hAnsi="Times New Roman" w:cs="Times New Roman"/>
          <w:sz w:val="24"/>
          <w:szCs w:val="24"/>
        </w:rPr>
        <w:t xml:space="preserve">will be </w:t>
      </w:r>
      <w:r w:rsidR="001011DC" w:rsidRPr="00777073">
        <w:rPr>
          <w:rFonts w:ascii="Times New Roman" w:hAnsi="Times New Roman" w:cs="Times New Roman"/>
          <w:sz w:val="24"/>
          <w:szCs w:val="24"/>
        </w:rPr>
        <w:t>continuing</w:t>
      </w:r>
      <w:r w:rsidR="005A317F" w:rsidRPr="00777073">
        <w:rPr>
          <w:rFonts w:ascii="Times New Roman" w:hAnsi="Times New Roman" w:cs="Times New Roman"/>
          <w:sz w:val="24"/>
          <w:szCs w:val="24"/>
        </w:rPr>
        <w:t xml:space="preserve"> initiatives</w:t>
      </w:r>
      <w:r w:rsidR="001011DC" w:rsidRPr="00777073">
        <w:rPr>
          <w:rFonts w:ascii="Times New Roman" w:hAnsi="Times New Roman" w:cs="Times New Roman"/>
          <w:sz w:val="24"/>
          <w:szCs w:val="24"/>
        </w:rPr>
        <w:t xml:space="preserve">.  </w:t>
      </w:r>
      <w:r w:rsidR="005C1425" w:rsidRPr="00777073">
        <w:rPr>
          <w:rFonts w:ascii="Times New Roman" w:hAnsi="Times New Roman" w:cs="Times New Roman"/>
          <w:sz w:val="24"/>
          <w:szCs w:val="24"/>
        </w:rPr>
        <w:t xml:space="preserve">We will also consider enhancing collaboration with the specialists, as </w:t>
      </w:r>
      <w:r w:rsidR="001011DC" w:rsidRPr="00777073">
        <w:rPr>
          <w:rFonts w:ascii="Times New Roman" w:hAnsi="Times New Roman" w:cs="Times New Roman"/>
          <w:sz w:val="24"/>
          <w:szCs w:val="24"/>
        </w:rPr>
        <w:t xml:space="preserve">the math specialist program credited these advising initiatives with helping to foster an increased performance in pre-foundational math courses </w:t>
      </w:r>
      <w:r w:rsidR="005C1425" w:rsidRPr="00777073">
        <w:rPr>
          <w:rFonts w:ascii="Times New Roman" w:hAnsi="Times New Roman" w:cs="Times New Roman"/>
          <w:sz w:val="24"/>
          <w:szCs w:val="24"/>
        </w:rPr>
        <w:t>in Fall 2012</w:t>
      </w:r>
      <w:r w:rsidR="001011DC" w:rsidRPr="00777073">
        <w:rPr>
          <w:rFonts w:ascii="Times New Roman" w:hAnsi="Times New Roman" w:cs="Times New Roman"/>
          <w:sz w:val="24"/>
          <w:szCs w:val="24"/>
        </w:rPr>
        <w:t>.</w:t>
      </w:r>
    </w:p>
    <w:p w:rsidR="00077D10" w:rsidRPr="00777073" w:rsidRDefault="006F774A">
      <w:pPr>
        <w:rPr>
          <w:rFonts w:ascii="Times New Roman" w:hAnsi="Times New Roman" w:cs="Times New Roman"/>
          <w:sz w:val="24"/>
          <w:szCs w:val="24"/>
        </w:rPr>
      </w:pPr>
      <w:r w:rsidRPr="00777073">
        <w:rPr>
          <w:rFonts w:ascii="Times New Roman" w:hAnsi="Times New Roman" w:cs="Times New Roman"/>
          <w:sz w:val="24"/>
          <w:szCs w:val="24"/>
        </w:rPr>
        <w:tab/>
        <w:t xml:space="preserve">Challenges in advising continue to center on the expanded array of functions advising is called on to perform.  The addition of new University programs and services leading to increased enrollments is </w:t>
      </w:r>
      <w:r w:rsidR="00570AD0" w:rsidRPr="00777073">
        <w:rPr>
          <w:rFonts w:ascii="Times New Roman" w:hAnsi="Times New Roman" w:cs="Times New Roman"/>
          <w:sz w:val="24"/>
          <w:szCs w:val="24"/>
        </w:rPr>
        <w:t>a most welcome campus development.  At the same time, we acknowledge that this positive and necessary expansion puts increased pressure on advising in terms of higher student loads, more complex advising protocols, and the presenta</w:t>
      </w:r>
      <w:r w:rsidR="001011DC" w:rsidRPr="00777073">
        <w:rPr>
          <w:rFonts w:ascii="Times New Roman" w:hAnsi="Times New Roman" w:cs="Times New Roman"/>
          <w:sz w:val="24"/>
          <w:szCs w:val="24"/>
        </w:rPr>
        <w:t xml:space="preserve">tion of students </w:t>
      </w:r>
      <w:r w:rsidR="005C1425" w:rsidRPr="00777073">
        <w:rPr>
          <w:rFonts w:ascii="Times New Roman" w:hAnsi="Times New Roman" w:cs="Times New Roman"/>
          <w:sz w:val="24"/>
          <w:szCs w:val="24"/>
        </w:rPr>
        <w:t xml:space="preserve">with complex </w:t>
      </w:r>
      <w:r w:rsidR="00570AD0" w:rsidRPr="00777073">
        <w:rPr>
          <w:rFonts w:ascii="Times New Roman" w:hAnsi="Times New Roman" w:cs="Times New Roman"/>
          <w:sz w:val="24"/>
          <w:szCs w:val="24"/>
        </w:rPr>
        <w:t>advising issues, including multiple transfer transcripts, differentiated advising needs, and an elevated spate of academic, personal, financial, medical and life challenges.  Advising has rallied to meet this challenge with stream-lined, more efficient procedures</w:t>
      </w:r>
      <w:r w:rsidR="005C1425" w:rsidRPr="00777073">
        <w:rPr>
          <w:rFonts w:ascii="Times New Roman" w:hAnsi="Times New Roman" w:cs="Times New Roman"/>
          <w:sz w:val="24"/>
          <w:szCs w:val="24"/>
        </w:rPr>
        <w:t xml:space="preserve"> and a collaborative case-management approach</w:t>
      </w:r>
      <w:r w:rsidR="00570AD0" w:rsidRPr="00777073">
        <w:rPr>
          <w:rFonts w:ascii="Times New Roman" w:hAnsi="Times New Roman" w:cs="Times New Roman"/>
          <w:sz w:val="24"/>
          <w:szCs w:val="24"/>
        </w:rPr>
        <w:t xml:space="preserve"> which we will continue to examine, assess and improve.  We do foresee that as our student popul</w:t>
      </w:r>
      <w:r w:rsidR="001011DC" w:rsidRPr="00777073">
        <w:rPr>
          <w:rFonts w:ascii="Times New Roman" w:hAnsi="Times New Roman" w:cs="Times New Roman"/>
          <w:sz w:val="24"/>
          <w:szCs w:val="24"/>
        </w:rPr>
        <w:t xml:space="preserve">ation continues to grow in </w:t>
      </w:r>
      <w:r w:rsidR="00570AD0" w:rsidRPr="00777073">
        <w:rPr>
          <w:rFonts w:ascii="Times New Roman" w:hAnsi="Times New Roman" w:cs="Times New Roman"/>
          <w:sz w:val="24"/>
          <w:szCs w:val="24"/>
        </w:rPr>
        <w:t xml:space="preserve">numbers and complexity, our professional </w:t>
      </w:r>
      <w:r w:rsidR="00570AD0" w:rsidRPr="00777073">
        <w:rPr>
          <w:rFonts w:ascii="Times New Roman" w:hAnsi="Times New Roman" w:cs="Times New Roman"/>
          <w:sz w:val="24"/>
          <w:szCs w:val="24"/>
        </w:rPr>
        <w:lastRenderedPageBreak/>
        <w:t xml:space="preserve">advising staff must keep pace in numbers of staff positions and enhanced professional development and training opportunities. </w:t>
      </w:r>
    </w:p>
    <w:sectPr w:rsidR="00077D10" w:rsidRPr="00777073" w:rsidSect="00DB52F0">
      <w:headerReference w:type="default" r:id="rId20"/>
      <w:head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EC6" w:rsidRDefault="00CA4EC6" w:rsidP="00DB52F0">
      <w:pPr>
        <w:spacing w:after="0" w:line="240" w:lineRule="auto"/>
      </w:pPr>
      <w:r>
        <w:separator/>
      </w:r>
    </w:p>
  </w:endnote>
  <w:endnote w:type="continuationSeparator" w:id="0">
    <w:p w:rsidR="00CA4EC6" w:rsidRDefault="00CA4EC6" w:rsidP="00DB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EC6" w:rsidRDefault="00CA4EC6" w:rsidP="00DB52F0">
      <w:pPr>
        <w:spacing w:after="0" w:line="240" w:lineRule="auto"/>
      </w:pPr>
      <w:r>
        <w:separator/>
      </w:r>
    </w:p>
  </w:footnote>
  <w:footnote w:type="continuationSeparator" w:id="0">
    <w:p w:rsidR="00CA4EC6" w:rsidRDefault="00CA4EC6" w:rsidP="00DB5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747822"/>
      <w:docPartObj>
        <w:docPartGallery w:val="Page Numbers (Top of Page)"/>
        <w:docPartUnique/>
      </w:docPartObj>
    </w:sdtPr>
    <w:sdtEndPr/>
    <w:sdtContent>
      <w:p w:rsidR="006235AF" w:rsidRDefault="001408FE">
        <w:pPr>
          <w:pStyle w:val="Header"/>
          <w:jc w:val="right"/>
        </w:pPr>
        <w:r>
          <w:fldChar w:fldCharType="begin"/>
        </w:r>
        <w:r w:rsidR="006235AF">
          <w:instrText xml:space="preserve"> PAGE   \* MERGEFORMAT </w:instrText>
        </w:r>
        <w:r>
          <w:fldChar w:fldCharType="separate"/>
        </w:r>
        <w:r w:rsidR="0067090E">
          <w:rPr>
            <w:noProof/>
          </w:rPr>
          <w:t>1</w:t>
        </w:r>
        <w:r>
          <w:rPr>
            <w:noProof/>
          </w:rPr>
          <w:fldChar w:fldCharType="end"/>
        </w:r>
      </w:p>
    </w:sdtContent>
  </w:sdt>
  <w:p w:rsidR="006235AF" w:rsidRDefault="00623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747823"/>
      <w:docPartObj>
        <w:docPartGallery w:val="Page Numbers (Top of Page)"/>
        <w:docPartUnique/>
      </w:docPartObj>
    </w:sdtPr>
    <w:sdtEndPr/>
    <w:sdtContent>
      <w:p w:rsidR="006235AF" w:rsidRDefault="001408FE">
        <w:pPr>
          <w:pStyle w:val="Header"/>
          <w:jc w:val="right"/>
        </w:pPr>
        <w:r>
          <w:fldChar w:fldCharType="begin"/>
        </w:r>
        <w:r w:rsidR="006235AF">
          <w:instrText xml:space="preserve"> PAGE   \* MERGEFORMAT </w:instrText>
        </w:r>
        <w:r>
          <w:fldChar w:fldCharType="separate"/>
        </w:r>
        <w:r w:rsidR="006235AF">
          <w:rPr>
            <w:noProof/>
          </w:rPr>
          <w:t>1</w:t>
        </w:r>
        <w:r>
          <w:rPr>
            <w:noProof/>
          </w:rPr>
          <w:fldChar w:fldCharType="end"/>
        </w:r>
      </w:p>
    </w:sdtContent>
  </w:sdt>
  <w:p w:rsidR="006235AF" w:rsidRDefault="00623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2E66AC5"/>
    <w:multiLevelType w:val="hybridMultilevel"/>
    <w:tmpl w:val="B7CC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80918"/>
    <w:multiLevelType w:val="hybridMultilevel"/>
    <w:tmpl w:val="4E7A16E8"/>
    <w:lvl w:ilvl="0" w:tplc="9E524708">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304D7F"/>
    <w:multiLevelType w:val="hybridMultilevel"/>
    <w:tmpl w:val="46E88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C32F2"/>
    <w:multiLevelType w:val="hybridMultilevel"/>
    <w:tmpl w:val="51E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20570"/>
    <w:multiLevelType w:val="hybridMultilevel"/>
    <w:tmpl w:val="9E5C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45D8D"/>
    <w:multiLevelType w:val="hybridMultilevel"/>
    <w:tmpl w:val="5DD0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212D0"/>
    <w:multiLevelType w:val="hybridMultilevel"/>
    <w:tmpl w:val="D7FA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D97583"/>
    <w:multiLevelType w:val="hybridMultilevel"/>
    <w:tmpl w:val="D572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45426"/>
    <w:multiLevelType w:val="hybridMultilevel"/>
    <w:tmpl w:val="DA34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F4F5F"/>
    <w:multiLevelType w:val="hybridMultilevel"/>
    <w:tmpl w:val="48DE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E564D"/>
    <w:multiLevelType w:val="hybridMultilevel"/>
    <w:tmpl w:val="124C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333B7"/>
    <w:multiLevelType w:val="hybridMultilevel"/>
    <w:tmpl w:val="1D326D92"/>
    <w:lvl w:ilvl="0" w:tplc="25DE0BCE">
      <w:numFmt w:val="bullet"/>
      <w:lvlText w:val=""/>
      <w:lvlJc w:val="left"/>
      <w:pPr>
        <w:ind w:left="1800" w:hanging="360"/>
      </w:pPr>
      <w:rPr>
        <w:rFonts w:ascii="Wingdings" w:eastAsiaTheme="minorHAnsi" w:hAnsi="Wingdings"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4C232E"/>
    <w:multiLevelType w:val="hybridMultilevel"/>
    <w:tmpl w:val="A8BA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91C92"/>
    <w:multiLevelType w:val="hybridMultilevel"/>
    <w:tmpl w:val="8F4E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35A55"/>
    <w:multiLevelType w:val="hybridMultilevel"/>
    <w:tmpl w:val="82FA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2E41E4"/>
    <w:multiLevelType w:val="hybridMultilevel"/>
    <w:tmpl w:val="1CC6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84945"/>
    <w:multiLevelType w:val="multilevel"/>
    <w:tmpl w:val="3F68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791F93"/>
    <w:multiLevelType w:val="hybridMultilevel"/>
    <w:tmpl w:val="2A22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3454BC"/>
    <w:multiLevelType w:val="hybridMultilevel"/>
    <w:tmpl w:val="F8EE8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4A65F9"/>
    <w:multiLevelType w:val="hybridMultilevel"/>
    <w:tmpl w:val="98D4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A2D09"/>
    <w:multiLevelType w:val="hybridMultilevel"/>
    <w:tmpl w:val="B9E4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5F283D"/>
    <w:multiLevelType w:val="hybridMultilevel"/>
    <w:tmpl w:val="C286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5453F1"/>
    <w:multiLevelType w:val="hybridMultilevel"/>
    <w:tmpl w:val="1BB4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EF4319"/>
    <w:multiLevelType w:val="hybridMultilevel"/>
    <w:tmpl w:val="C66A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C953C8"/>
    <w:multiLevelType w:val="hybridMultilevel"/>
    <w:tmpl w:val="60FAE59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E20CD9"/>
    <w:multiLevelType w:val="hybridMultilevel"/>
    <w:tmpl w:val="093C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E442D2"/>
    <w:multiLevelType w:val="hybridMultilevel"/>
    <w:tmpl w:val="6BDA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5"/>
  </w:num>
  <w:num w:numId="4">
    <w:abstractNumId w:val="10"/>
  </w:num>
  <w:num w:numId="5">
    <w:abstractNumId w:val="12"/>
  </w:num>
  <w:num w:numId="6">
    <w:abstractNumId w:val="24"/>
  </w:num>
  <w:num w:numId="7">
    <w:abstractNumId w:val="25"/>
  </w:num>
  <w:num w:numId="8">
    <w:abstractNumId w:val="20"/>
  </w:num>
  <w:num w:numId="9">
    <w:abstractNumId w:val="19"/>
  </w:num>
  <w:num w:numId="10">
    <w:abstractNumId w:val="18"/>
  </w:num>
  <w:num w:numId="11">
    <w:abstractNumId w:val="2"/>
  </w:num>
  <w:num w:numId="12">
    <w:abstractNumId w:val="11"/>
  </w:num>
  <w:num w:numId="13">
    <w:abstractNumId w:val="1"/>
  </w:num>
  <w:num w:numId="14">
    <w:abstractNumId w:val="16"/>
  </w:num>
  <w:num w:numId="15">
    <w:abstractNumId w:val="22"/>
  </w:num>
  <w:num w:numId="16">
    <w:abstractNumId w:val="9"/>
  </w:num>
  <w:num w:numId="17">
    <w:abstractNumId w:val="26"/>
  </w:num>
  <w:num w:numId="18">
    <w:abstractNumId w:val="4"/>
  </w:num>
  <w:num w:numId="19">
    <w:abstractNumId w:val="6"/>
  </w:num>
  <w:num w:numId="20">
    <w:abstractNumId w:val="21"/>
  </w:num>
  <w:num w:numId="21">
    <w:abstractNumId w:val="5"/>
  </w:num>
  <w:num w:numId="22">
    <w:abstractNumId w:val="17"/>
  </w:num>
  <w:num w:numId="23">
    <w:abstractNumId w:val="7"/>
  </w:num>
  <w:num w:numId="24">
    <w:abstractNumId w:val="14"/>
  </w:num>
  <w:num w:numId="25">
    <w:abstractNumId w:val="8"/>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C0"/>
    <w:rsid w:val="00001212"/>
    <w:rsid w:val="000145BA"/>
    <w:rsid w:val="0001573A"/>
    <w:rsid w:val="000178B6"/>
    <w:rsid w:val="00021011"/>
    <w:rsid w:val="00032D29"/>
    <w:rsid w:val="00057FD5"/>
    <w:rsid w:val="0006218C"/>
    <w:rsid w:val="00070C7F"/>
    <w:rsid w:val="000751C4"/>
    <w:rsid w:val="00076D53"/>
    <w:rsid w:val="00077D10"/>
    <w:rsid w:val="00084232"/>
    <w:rsid w:val="00092CC9"/>
    <w:rsid w:val="000A5410"/>
    <w:rsid w:val="000C134C"/>
    <w:rsid w:val="000C42C9"/>
    <w:rsid w:val="000C6072"/>
    <w:rsid w:val="000D073D"/>
    <w:rsid w:val="000E2175"/>
    <w:rsid w:val="000E2AB5"/>
    <w:rsid w:val="000E7D7E"/>
    <w:rsid w:val="000F6E90"/>
    <w:rsid w:val="001011DC"/>
    <w:rsid w:val="00112921"/>
    <w:rsid w:val="001143CB"/>
    <w:rsid w:val="001228FA"/>
    <w:rsid w:val="00123F6E"/>
    <w:rsid w:val="001408FE"/>
    <w:rsid w:val="001436F2"/>
    <w:rsid w:val="00150D20"/>
    <w:rsid w:val="001529DA"/>
    <w:rsid w:val="001660ED"/>
    <w:rsid w:val="00172933"/>
    <w:rsid w:val="00173A2D"/>
    <w:rsid w:val="00182F68"/>
    <w:rsid w:val="001877D7"/>
    <w:rsid w:val="001931F3"/>
    <w:rsid w:val="00194AD0"/>
    <w:rsid w:val="001A2BBC"/>
    <w:rsid w:val="001B265D"/>
    <w:rsid w:val="001C1489"/>
    <w:rsid w:val="001C1BC2"/>
    <w:rsid w:val="001D4889"/>
    <w:rsid w:val="001D650C"/>
    <w:rsid w:val="001D73A2"/>
    <w:rsid w:val="001D765A"/>
    <w:rsid w:val="001F3587"/>
    <w:rsid w:val="00205C4D"/>
    <w:rsid w:val="00227AD6"/>
    <w:rsid w:val="0023296F"/>
    <w:rsid w:val="002426DF"/>
    <w:rsid w:val="00242FE5"/>
    <w:rsid w:val="00253927"/>
    <w:rsid w:val="00285D5C"/>
    <w:rsid w:val="00287FC3"/>
    <w:rsid w:val="002917A3"/>
    <w:rsid w:val="00294885"/>
    <w:rsid w:val="002A6693"/>
    <w:rsid w:val="002B499E"/>
    <w:rsid w:val="002C6391"/>
    <w:rsid w:val="002C73C7"/>
    <w:rsid w:val="002D15EF"/>
    <w:rsid w:val="002F21A9"/>
    <w:rsid w:val="00301848"/>
    <w:rsid w:val="0032324D"/>
    <w:rsid w:val="003269CC"/>
    <w:rsid w:val="00336FA3"/>
    <w:rsid w:val="00337B72"/>
    <w:rsid w:val="00357FF7"/>
    <w:rsid w:val="003747BE"/>
    <w:rsid w:val="00392096"/>
    <w:rsid w:val="003936CB"/>
    <w:rsid w:val="003A4CEF"/>
    <w:rsid w:val="003A7D69"/>
    <w:rsid w:val="003B50DF"/>
    <w:rsid w:val="003D2023"/>
    <w:rsid w:val="003E1FA3"/>
    <w:rsid w:val="003F4D15"/>
    <w:rsid w:val="003F71E7"/>
    <w:rsid w:val="00403D09"/>
    <w:rsid w:val="00411134"/>
    <w:rsid w:val="004171BA"/>
    <w:rsid w:val="004173A6"/>
    <w:rsid w:val="0042592B"/>
    <w:rsid w:val="0043107B"/>
    <w:rsid w:val="00455038"/>
    <w:rsid w:val="00455DD8"/>
    <w:rsid w:val="00457718"/>
    <w:rsid w:val="004654A1"/>
    <w:rsid w:val="00471343"/>
    <w:rsid w:val="004913B0"/>
    <w:rsid w:val="00493393"/>
    <w:rsid w:val="00495648"/>
    <w:rsid w:val="004974E2"/>
    <w:rsid w:val="004A61F2"/>
    <w:rsid w:val="004A65C0"/>
    <w:rsid w:val="004C7D84"/>
    <w:rsid w:val="004D0AFF"/>
    <w:rsid w:val="004D6FEA"/>
    <w:rsid w:val="004D744D"/>
    <w:rsid w:val="004E220E"/>
    <w:rsid w:val="004F078A"/>
    <w:rsid w:val="004F53AB"/>
    <w:rsid w:val="004F552F"/>
    <w:rsid w:val="005156ED"/>
    <w:rsid w:val="005351E3"/>
    <w:rsid w:val="00570AD0"/>
    <w:rsid w:val="00591026"/>
    <w:rsid w:val="005A295D"/>
    <w:rsid w:val="005A317F"/>
    <w:rsid w:val="005C1425"/>
    <w:rsid w:val="005C29AB"/>
    <w:rsid w:val="005D1491"/>
    <w:rsid w:val="005E07F0"/>
    <w:rsid w:val="005E1137"/>
    <w:rsid w:val="005E3325"/>
    <w:rsid w:val="005F028A"/>
    <w:rsid w:val="00621458"/>
    <w:rsid w:val="006235AF"/>
    <w:rsid w:val="00633C0F"/>
    <w:rsid w:val="006432CC"/>
    <w:rsid w:val="00647743"/>
    <w:rsid w:val="0065596D"/>
    <w:rsid w:val="0067090E"/>
    <w:rsid w:val="00676179"/>
    <w:rsid w:val="00690790"/>
    <w:rsid w:val="006C4174"/>
    <w:rsid w:val="006C7F0D"/>
    <w:rsid w:val="006D7DCA"/>
    <w:rsid w:val="006E582A"/>
    <w:rsid w:val="006E7D40"/>
    <w:rsid w:val="006F11CE"/>
    <w:rsid w:val="006F774A"/>
    <w:rsid w:val="00751C71"/>
    <w:rsid w:val="00777073"/>
    <w:rsid w:val="0078774F"/>
    <w:rsid w:val="007916F3"/>
    <w:rsid w:val="00792F92"/>
    <w:rsid w:val="007948B7"/>
    <w:rsid w:val="007A07C3"/>
    <w:rsid w:val="007A577E"/>
    <w:rsid w:val="007A6FE5"/>
    <w:rsid w:val="007C11C8"/>
    <w:rsid w:val="007C6BE0"/>
    <w:rsid w:val="007D6615"/>
    <w:rsid w:val="007E687E"/>
    <w:rsid w:val="007F33CA"/>
    <w:rsid w:val="00812197"/>
    <w:rsid w:val="008173B5"/>
    <w:rsid w:val="008341DD"/>
    <w:rsid w:val="00841159"/>
    <w:rsid w:val="00866F86"/>
    <w:rsid w:val="008759B8"/>
    <w:rsid w:val="00881B32"/>
    <w:rsid w:val="008904FF"/>
    <w:rsid w:val="0089686B"/>
    <w:rsid w:val="008A0FDC"/>
    <w:rsid w:val="008B4701"/>
    <w:rsid w:val="008B5662"/>
    <w:rsid w:val="008F43FF"/>
    <w:rsid w:val="00902B10"/>
    <w:rsid w:val="00904AE3"/>
    <w:rsid w:val="00922483"/>
    <w:rsid w:val="00932449"/>
    <w:rsid w:val="00956938"/>
    <w:rsid w:val="0095736E"/>
    <w:rsid w:val="00961315"/>
    <w:rsid w:val="00963D45"/>
    <w:rsid w:val="009654B4"/>
    <w:rsid w:val="0097168B"/>
    <w:rsid w:val="00984D8D"/>
    <w:rsid w:val="009866A8"/>
    <w:rsid w:val="00990AFD"/>
    <w:rsid w:val="009B2D99"/>
    <w:rsid w:val="009C4C27"/>
    <w:rsid w:val="009E2997"/>
    <w:rsid w:val="009E617B"/>
    <w:rsid w:val="009F2E30"/>
    <w:rsid w:val="00A138BD"/>
    <w:rsid w:val="00A252A6"/>
    <w:rsid w:val="00A25A69"/>
    <w:rsid w:val="00A26FC0"/>
    <w:rsid w:val="00A30152"/>
    <w:rsid w:val="00A308E1"/>
    <w:rsid w:val="00A31942"/>
    <w:rsid w:val="00A33DBD"/>
    <w:rsid w:val="00A36DEC"/>
    <w:rsid w:val="00A4483A"/>
    <w:rsid w:val="00A50FD3"/>
    <w:rsid w:val="00A91C13"/>
    <w:rsid w:val="00AA24AC"/>
    <w:rsid w:val="00AB76D9"/>
    <w:rsid w:val="00AC01A4"/>
    <w:rsid w:val="00AC279C"/>
    <w:rsid w:val="00AD5C73"/>
    <w:rsid w:val="00AF52E9"/>
    <w:rsid w:val="00AF707B"/>
    <w:rsid w:val="00B00C7B"/>
    <w:rsid w:val="00B026D7"/>
    <w:rsid w:val="00B1231C"/>
    <w:rsid w:val="00B15F02"/>
    <w:rsid w:val="00B169BB"/>
    <w:rsid w:val="00B2109F"/>
    <w:rsid w:val="00B25EE5"/>
    <w:rsid w:val="00B27633"/>
    <w:rsid w:val="00B415B8"/>
    <w:rsid w:val="00B42301"/>
    <w:rsid w:val="00B42B97"/>
    <w:rsid w:val="00B44D86"/>
    <w:rsid w:val="00B46DE2"/>
    <w:rsid w:val="00B6094F"/>
    <w:rsid w:val="00B70350"/>
    <w:rsid w:val="00B83BCF"/>
    <w:rsid w:val="00B877F6"/>
    <w:rsid w:val="00B9071C"/>
    <w:rsid w:val="00B91FA6"/>
    <w:rsid w:val="00B92752"/>
    <w:rsid w:val="00B92CBA"/>
    <w:rsid w:val="00BB0CC8"/>
    <w:rsid w:val="00BD01F0"/>
    <w:rsid w:val="00C31FE2"/>
    <w:rsid w:val="00C41EAD"/>
    <w:rsid w:val="00C44457"/>
    <w:rsid w:val="00C44AE4"/>
    <w:rsid w:val="00C50172"/>
    <w:rsid w:val="00C639A4"/>
    <w:rsid w:val="00C937B2"/>
    <w:rsid w:val="00CA4EC6"/>
    <w:rsid w:val="00CC4C99"/>
    <w:rsid w:val="00CD2981"/>
    <w:rsid w:val="00CD5651"/>
    <w:rsid w:val="00CF7CBE"/>
    <w:rsid w:val="00D01FA4"/>
    <w:rsid w:val="00D05FB0"/>
    <w:rsid w:val="00D16651"/>
    <w:rsid w:val="00D173AC"/>
    <w:rsid w:val="00D2252F"/>
    <w:rsid w:val="00D34317"/>
    <w:rsid w:val="00D35207"/>
    <w:rsid w:val="00D354D4"/>
    <w:rsid w:val="00D5191B"/>
    <w:rsid w:val="00D5455E"/>
    <w:rsid w:val="00D54972"/>
    <w:rsid w:val="00D54FB8"/>
    <w:rsid w:val="00D61089"/>
    <w:rsid w:val="00D77896"/>
    <w:rsid w:val="00D833C3"/>
    <w:rsid w:val="00D96DC5"/>
    <w:rsid w:val="00DB52F0"/>
    <w:rsid w:val="00DB7BDF"/>
    <w:rsid w:val="00DC3FEB"/>
    <w:rsid w:val="00DD78EA"/>
    <w:rsid w:val="00DF0E63"/>
    <w:rsid w:val="00DF1925"/>
    <w:rsid w:val="00DF2252"/>
    <w:rsid w:val="00E10F8F"/>
    <w:rsid w:val="00E14729"/>
    <w:rsid w:val="00E150D6"/>
    <w:rsid w:val="00E230BB"/>
    <w:rsid w:val="00E31BBC"/>
    <w:rsid w:val="00E41933"/>
    <w:rsid w:val="00E43144"/>
    <w:rsid w:val="00E628A8"/>
    <w:rsid w:val="00E74D42"/>
    <w:rsid w:val="00E84FE5"/>
    <w:rsid w:val="00E858DE"/>
    <w:rsid w:val="00E87597"/>
    <w:rsid w:val="00E94AC1"/>
    <w:rsid w:val="00EC3F9E"/>
    <w:rsid w:val="00ED78F9"/>
    <w:rsid w:val="00EF039D"/>
    <w:rsid w:val="00F11C3C"/>
    <w:rsid w:val="00F11F34"/>
    <w:rsid w:val="00F159B8"/>
    <w:rsid w:val="00F356CE"/>
    <w:rsid w:val="00F459A3"/>
    <w:rsid w:val="00F640A3"/>
    <w:rsid w:val="00F74384"/>
    <w:rsid w:val="00F75DE8"/>
    <w:rsid w:val="00F84046"/>
    <w:rsid w:val="00FA1B76"/>
    <w:rsid w:val="00FA4511"/>
    <w:rsid w:val="00FB6FC5"/>
    <w:rsid w:val="00FF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1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089"/>
    <w:rPr>
      <w:rFonts w:ascii="Tahoma" w:hAnsi="Tahoma" w:cs="Tahoma"/>
      <w:sz w:val="16"/>
      <w:szCs w:val="16"/>
    </w:rPr>
  </w:style>
  <w:style w:type="paragraph" w:styleId="ListParagraph">
    <w:name w:val="List Paragraph"/>
    <w:basedOn w:val="Normal"/>
    <w:uiPriority w:val="34"/>
    <w:qFormat/>
    <w:rsid w:val="00AF707B"/>
    <w:pPr>
      <w:ind w:left="720"/>
      <w:contextualSpacing/>
    </w:pPr>
  </w:style>
  <w:style w:type="paragraph" w:styleId="NoSpacing">
    <w:name w:val="No Spacing"/>
    <w:uiPriority w:val="1"/>
    <w:qFormat/>
    <w:rsid w:val="004974E2"/>
    <w:pPr>
      <w:spacing w:after="0" w:line="240" w:lineRule="auto"/>
    </w:pPr>
  </w:style>
  <w:style w:type="paragraph" w:styleId="Header">
    <w:name w:val="header"/>
    <w:basedOn w:val="Normal"/>
    <w:link w:val="HeaderChar"/>
    <w:uiPriority w:val="99"/>
    <w:unhideWhenUsed/>
    <w:rsid w:val="00DB5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F0"/>
  </w:style>
  <w:style w:type="paragraph" w:styleId="Footer">
    <w:name w:val="footer"/>
    <w:basedOn w:val="Normal"/>
    <w:link w:val="FooterChar"/>
    <w:uiPriority w:val="99"/>
    <w:unhideWhenUsed/>
    <w:rsid w:val="00DB5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1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089"/>
    <w:rPr>
      <w:rFonts w:ascii="Tahoma" w:hAnsi="Tahoma" w:cs="Tahoma"/>
      <w:sz w:val="16"/>
      <w:szCs w:val="16"/>
    </w:rPr>
  </w:style>
  <w:style w:type="paragraph" w:styleId="ListParagraph">
    <w:name w:val="List Paragraph"/>
    <w:basedOn w:val="Normal"/>
    <w:uiPriority w:val="34"/>
    <w:qFormat/>
    <w:rsid w:val="00AF707B"/>
    <w:pPr>
      <w:ind w:left="720"/>
      <w:contextualSpacing/>
    </w:pPr>
  </w:style>
  <w:style w:type="paragraph" w:styleId="NoSpacing">
    <w:name w:val="No Spacing"/>
    <w:uiPriority w:val="1"/>
    <w:qFormat/>
    <w:rsid w:val="004974E2"/>
    <w:pPr>
      <w:spacing w:after="0" w:line="240" w:lineRule="auto"/>
    </w:pPr>
  </w:style>
  <w:style w:type="paragraph" w:styleId="Header">
    <w:name w:val="header"/>
    <w:basedOn w:val="Normal"/>
    <w:link w:val="HeaderChar"/>
    <w:uiPriority w:val="99"/>
    <w:unhideWhenUsed/>
    <w:rsid w:val="00DB5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F0"/>
  </w:style>
  <w:style w:type="paragraph" w:styleId="Footer">
    <w:name w:val="footer"/>
    <w:basedOn w:val="Normal"/>
    <w:link w:val="FooterChar"/>
    <w:uiPriority w:val="99"/>
    <w:unhideWhenUsed/>
    <w:rsid w:val="00DB5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7221">
      <w:bodyDiv w:val="1"/>
      <w:marLeft w:val="0"/>
      <w:marRight w:val="0"/>
      <w:marTop w:val="0"/>
      <w:marBottom w:val="0"/>
      <w:divBdr>
        <w:top w:val="none" w:sz="0" w:space="0" w:color="auto"/>
        <w:left w:val="none" w:sz="0" w:space="0" w:color="auto"/>
        <w:bottom w:val="none" w:sz="0" w:space="0" w:color="auto"/>
        <w:right w:val="none" w:sz="0" w:space="0" w:color="auto"/>
      </w:divBdr>
    </w:div>
    <w:div w:id="1137802379">
      <w:bodyDiv w:val="1"/>
      <w:marLeft w:val="0"/>
      <w:marRight w:val="0"/>
      <w:marTop w:val="0"/>
      <w:marBottom w:val="0"/>
      <w:divBdr>
        <w:top w:val="none" w:sz="0" w:space="0" w:color="auto"/>
        <w:left w:val="none" w:sz="0" w:space="0" w:color="auto"/>
        <w:bottom w:val="none" w:sz="0" w:space="0" w:color="auto"/>
        <w:right w:val="none" w:sz="0" w:space="0" w:color="auto"/>
      </w:divBdr>
    </w:div>
    <w:div w:id="17312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Fall 2012</c:v>
                </c:pt>
              </c:strCache>
            </c:strRef>
          </c:tx>
          <c:invertIfNegative val="0"/>
          <c:cat>
            <c:strRef>
              <c:f>Sheet1!$A$2:$A$5</c:f>
              <c:strCache>
                <c:ptCount val="4"/>
                <c:pt idx="0">
                  <c:v>Total Alerts</c:v>
                </c:pt>
                <c:pt idx="1">
                  <c:v>Alerts Rec'd</c:v>
                </c:pt>
                <c:pt idx="2">
                  <c:v>Multiple Alerts</c:v>
                </c:pt>
                <c:pt idx="3">
                  <c:v>Faculty Submissions</c:v>
                </c:pt>
              </c:strCache>
            </c:strRef>
          </c:cat>
          <c:val>
            <c:numRef>
              <c:f>Sheet1!$B$2:$B$5</c:f>
              <c:numCache>
                <c:formatCode>General</c:formatCode>
                <c:ptCount val="4"/>
                <c:pt idx="0">
                  <c:v>291</c:v>
                </c:pt>
                <c:pt idx="1">
                  <c:v>232</c:v>
                </c:pt>
                <c:pt idx="2">
                  <c:v>59</c:v>
                </c:pt>
                <c:pt idx="3">
                  <c:v>44</c:v>
                </c:pt>
              </c:numCache>
            </c:numRef>
          </c:val>
        </c:ser>
        <c:ser>
          <c:idx val="1"/>
          <c:order val="1"/>
          <c:tx>
            <c:strRef>
              <c:f>Sheet1!$C$1</c:f>
              <c:strCache>
                <c:ptCount val="1"/>
                <c:pt idx="0">
                  <c:v>Spring 2013</c:v>
                </c:pt>
              </c:strCache>
            </c:strRef>
          </c:tx>
          <c:invertIfNegative val="0"/>
          <c:cat>
            <c:strRef>
              <c:f>Sheet1!$A$2:$A$5</c:f>
              <c:strCache>
                <c:ptCount val="4"/>
                <c:pt idx="0">
                  <c:v>Total Alerts</c:v>
                </c:pt>
                <c:pt idx="1">
                  <c:v>Alerts Rec'd</c:v>
                </c:pt>
                <c:pt idx="2">
                  <c:v>Multiple Alerts</c:v>
                </c:pt>
                <c:pt idx="3">
                  <c:v>Faculty Submissions</c:v>
                </c:pt>
              </c:strCache>
            </c:strRef>
          </c:cat>
          <c:val>
            <c:numRef>
              <c:f>Sheet1!$C$2:$C$5</c:f>
              <c:numCache>
                <c:formatCode>General</c:formatCode>
                <c:ptCount val="4"/>
                <c:pt idx="0">
                  <c:v>216</c:v>
                </c:pt>
                <c:pt idx="1">
                  <c:v>184</c:v>
                </c:pt>
                <c:pt idx="2">
                  <c:v>30</c:v>
                </c:pt>
                <c:pt idx="3">
                  <c:v>19</c:v>
                </c:pt>
              </c:numCache>
            </c:numRef>
          </c:val>
        </c:ser>
        <c:dLbls>
          <c:showLegendKey val="0"/>
          <c:showVal val="0"/>
          <c:showCatName val="0"/>
          <c:showSerName val="0"/>
          <c:showPercent val="0"/>
          <c:showBubbleSize val="0"/>
        </c:dLbls>
        <c:gapWidth val="150"/>
        <c:axId val="63105664"/>
        <c:axId val="41189760"/>
      </c:barChart>
      <c:catAx>
        <c:axId val="63105664"/>
        <c:scaling>
          <c:orientation val="minMax"/>
        </c:scaling>
        <c:delete val="0"/>
        <c:axPos val="b"/>
        <c:majorTickMark val="out"/>
        <c:minorTickMark val="none"/>
        <c:tickLblPos val="nextTo"/>
        <c:crossAx val="41189760"/>
        <c:crosses val="autoZero"/>
        <c:auto val="1"/>
        <c:lblAlgn val="ctr"/>
        <c:lblOffset val="100"/>
        <c:noMultiLvlLbl val="0"/>
      </c:catAx>
      <c:valAx>
        <c:axId val="41189760"/>
        <c:scaling>
          <c:orientation val="minMax"/>
        </c:scaling>
        <c:delete val="0"/>
        <c:axPos val="l"/>
        <c:majorGridlines/>
        <c:numFmt formatCode="General" sourceLinked="1"/>
        <c:majorTickMark val="out"/>
        <c:minorTickMark val="none"/>
        <c:tickLblPos val="nextTo"/>
        <c:crossAx val="6310566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Watch</c:v>
                </c:pt>
              </c:strCache>
            </c:strRef>
          </c:tx>
          <c:invertIfNegative val="0"/>
          <c:cat>
            <c:strRef>
              <c:f>Sheet1!$A$2:$A$3</c:f>
              <c:strCache>
                <c:ptCount val="2"/>
                <c:pt idx="0">
                  <c:v>Fall 2012</c:v>
                </c:pt>
                <c:pt idx="1">
                  <c:v>Spring 2013</c:v>
                </c:pt>
              </c:strCache>
            </c:strRef>
          </c:cat>
          <c:val>
            <c:numRef>
              <c:f>Sheet1!$B$2:$B$3</c:f>
              <c:numCache>
                <c:formatCode>0%</c:formatCode>
                <c:ptCount val="2"/>
                <c:pt idx="0">
                  <c:v>0.1</c:v>
                </c:pt>
                <c:pt idx="1">
                  <c:v>0.14000000000000001</c:v>
                </c:pt>
              </c:numCache>
            </c:numRef>
          </c:val>
        </c:ser>
        <c:ser>
          <c:idx val="1"/>
          <c:order val="1"/>
          <c:tx>
            <c:strRef>
              <c:f>Sheet1!$C$1</c:f>
              <c:strCache>
                <c:ptCount val="1"/>
                <c:pt idx="0">
                  <c:v>Warning</c:v>
                </c:pt>
              </c:strCache>
            </c:strRef>
          </c:tx>
          <c:invertIfNegative val="0"/>
          <c:cat>
            <c:strRef>
              <c:f>Sheet1!$A$2:$A$3</c:f>
              <c:strCache>
                <c:ptCount val="2"/>
                <c:pt idx="0">
                  <c:v>Fall 2012</c:v>
                </c:pt>
                <c:pt idx="1">
                  <c:v>Spring 2013</c:v>
                </c:pt>
              </c:strCache>
            </c:strRef>
          </c:cat>
          <c:val>
            <c:numRef>
              <c:f>Sheet1!$C$2:$C$3</c:f>
              <c:numCache>
                <c:formatCode>0%</c:formatCode>
                <c:ptCount val="2"/>
                <c:pt idx="0">
                  <c:v>0</c:v>
                </c:pt>
                <c:pt idx="1">
                  <c:v>2.0000000000000011E-2</c:v>
                </c:pt>
              </c:numCache>
            </c:numRef>
          </c:val>
        </c:ser>
        <c:ser>
          <c:idx val="2"/>
          <c:order val="2"/>
          <c:tx>
            <c:strRef>
              <c:f>Sheet1!$D$1</c:f>
              <c:strCache>
                <c:ptCount val="1"/>
                <c:pt idx="0">
                  <c:v>Probation 1</c:v>
                </c:pt>
              </c:strCache>
            </c:strRef>
          </c:tx>
          <c:invertIfNegative val="0"/>
          <c:cat>
            <c:strRef>
              <c:f>Sheet1!$A$2:$A$3</c:f>
              <c:strCache>
                <c:ptCount val="2"/>
                <c:pt idx="0">
                  <c:v>Fall 2012</c:v>
                </c:pt>
                <c:pt idx="1">
                  <c:v>Spring 2013</c:v>
                </c:pt>
              </c:strCache>
            </c:strRef>
          </c:cat>
          <c:val>
            <c:numRef>
              <c:f>Sheet1!$D$2:$D$3</c:f>
              <c:numCache>
                <c:formatCode>0%</c:formatCode>
                <c:ptCount val="2"/>
                <c:pt idx="0">
                  <c:v>0.28000000000000008</c:v>
                </c:pt>
                <c:pt idx="1">
                  <c:v>0.17</c:v>
                </c:pt>
              </c:numCache>
            </c:numRef>
          </c:val>
        </c:ser>
        <c:ser>
          <c:idx val="3"/>
          <c:order val="3"/>
          <c:tx>
            <c:strRef>
              <c:f>Sheet1!$E$1</c:f>
              <c:strCache>
                <c:ptCount val="1"/>
                <c:pt idx="0">
                  <c:v>Probation 2</c:v>
                </c:pt>
              </c:strCache>
            </c:strRef>
          </c:tx>
          <c:invertIfNegative val="0"/>
          <c:cat>
            <c:strRef>
              <c:f>Sheet1!$A$2:$A$3</c:f>
              <c:strCache>
                <c:ptCount val="2"/>
                <c:pt idx="0">
                  <c:v>Fall 2012</c:v>
                </c:pt>
                <c:pt idx="1">
                  <c:v>Spring 2013</c:v>
                </c:pt>
              </c:strCache>
            </c:strRef>
          </c:cat>
          <c:val>
            <c:numRef>
              <c:f>Sheet1!$E$2:$E$3</c:f>
              <c:numCache>
                <c:formatCode>0%</c:formatCode>
                <c:ptCount val="2"/>
                <c:pt idx="0">
                  <c:v>2.0000000000000011E-2</c:v>
                </c:pt>
                <c:pt idx="1">
                  <c:v>0.14000000000000001</c:v>
                </c:pt>
              </c:numCache>
            </c:numRef>
          </c:val>
        </c:ser>
        <c:ser>
          <c:idx val="4"/>
          <c:order val="4"/>
          <c:tx>
            <c:strRef>
              <c:f>Sheet1!$F$1</c:f>
              <c:strCache>
                <c:ptCount val="1"/>
                <c:pt idx="0">
                  <c:v>Dismissal</c:v>
                </c:pt>
              </c:strCache>
            </c:strRef>
          </c:tx>
          <c:invertIfNegative val="0"/>
          <c:cat>
            <c:strRef>
              <c:f>Sheet1!$A$2:$A$3</c:f>
              <c:strCache>
                <c:ptCount val="2"/>
                <c:pt idx="0">
                  <c:v>Fall 2012</c:v>
                </c:pt>
                <c:pt idx="1">
                  <c:v>Spring 2013</c:v>
                </c:pt>
              </c:strCache>
            </c:strRef>
          </c:cat>
          <c:val>
            <c:numRef>
              <c:f>Sheet1!$F$2:$F$3</c:f>
              <c:numCache>
                <c:formatCode>0%</c:formatCode>
                <c:ptCount val="2"/>
                <c:pt idx="0">
                  <c:v>0</c:v>
                </c:pt>
                <c:pt idx="1">
                  <c:v>0.05</c:v>
                </c:pt>
              </c:numCache>
            </c:numRef>
          </c:val>
        </c:ser>
        <c:ser>
          <c:idx val="5"/>
          <c:order val="5"/>
          <c:tx>
            <c:strRef>
              <c:f>Sheet1!$G$1</c:f>
              <c:strCache>
                <c:ptCount val="1"/>
                <c:pt idx="0">
                  <c:v>No Award</c:v>
                </c:pt>
              </c:strCache>
            </c:strRef>
          </c:tx>
          <c:invertIfNegative val="0"/>
          <c:cat>
            <c:strRef>
              <c:f>Sheet1!$A$2:$A$3</c:f>
              <c:strCache>
                <c:ptCount val="2"/>
                <c:pt idx="0">
                  <c:v>Fall 2012</c:v>
                </c:pt>
                <c:pt idx="1">
                  <c:v>Spring 2013</c:v>
                </c:pt>
              </c:strCache>
            </c:strRef>
          </c:cat>
          <c:val>
            <c:numRef>
              <c:f>Sheet1!$G$2:$G$3</c:f>
              <c:numCache>
                <c:formatCode>0%</c:formatCode>
                <c:ptCount val="2"/>
                <c:pt idx="0">
                  <c:v>0.2100000000000001</c:v>
                </c:pt>
                <c:pt idx="1">
                  <c:v>0.4800000000000002</c:v>
                </c:pt>
              </c:numCache>
            </c:numRef>
          </c:val>
        </c:ser>
        <c:dLbls>
          <c:showLegendKey val="0"/>
          <c:showVal val="0"/>
          <c:showCatName val="0"/>
          <c:showSerName val="0"/>
          <c:showPercent val="0"/>
          <c:showBubbleSize val="0"/>
        </c:dLbls>
        <c:gapWidth val="150"/>
        <c:axId val="65003520"/>
        <c:axId val="65005056"/>
      </c:barChart>
      <c:catAx>
        <c:axId val="65003520"/>
        <c:scaling>
          <c:orientation val="minMax"/>
        </c:scaling>
        <c:delete val="0"/>
        <c:axPos val="b"/>
        <c:majorTickMark val="out"/>
        <c:minorTickMark val="none"/>
        <c:tickLblPos val="nextTo"/>
        <c:crossAx val="65005056"/>
        <c:crosses val="autoZero"/>
        <c:auto val="1"/>
        <c:lblAlgn val="ctr"/>
        <c:lblOffset val="100"/>
        <c:noMultiLvlLbl val="0"/>
      </c:catAx>
      <c:valAx>
        <c:axId val="65005056"/>
        <c:scaling>
          <c:orientation val="minMax"/>
        </c:scaling>
        <c:delete val="0"/>
        <c:axPos val="l"/>
        <c:majorGridlines/>
        <c:numFmt formatCode="0%" sourceLinked="1"/>
        <c:majorTickMark val="out"/>
        <c:minorTickMark val="none"/>
        <c:tickLblPos val="nextTo"/>
        <c:crossAx val="6500352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Fall 2012</c:v>
                </c:pt>
              </c:strCache>
            </c:strRef>
          </c:tx>
          <c:invertIfNegative val="0"/>
          <c:cat>
            <c:strRef>
              <c:f>Sheet1!$A$2:$A$7</c:f>
              <c:strCache>
                <c:ptCount val="6"/>
                <c:pt idx="0">
                  <c:v>Online form</c:v>
                </c:pt>
                <c:pt idx="1">
                  <c:v>Office Visit</c:v>
                </c:pt>
                <c:pt idx="2">
                  <c:v>Faculty</c:v>
                </c:pt>
                <c:pt idx="3">
                  <c:v>Health &amp; Wellness</c:v>
                </c:pt>
                <c:pt idx="4">
                  <c:v>Dean of Students</c:v>
                </c:pt>
                <c:pt idx="5">
                  <c:v>Other</c:v>
                </c:pt>
              </c:strCache>
            </c:strRef>
          </c:cat>
          <c:val>
            <c:numRef>
              <c:f>Sheet1!$B$2:$B$7</c:f>
              <c:numCache>
                <c:formatCode>0%</c:formatCode>
                <c:ptCount val="6"/>
                <c:pt idx="0">
                  <c:v>0.1800000000000001</c:v>
                </c:pt>
                <c:pt idx="1">
                  <c:v>0.2</c:v>
                </c:pt>
                <c:pt idx="2">
                  <c:v>0.33000000000000035</c:v>
                </c:pt>
                <c:pt idx="3">
                  <c:v>0.12000000000000002</c:v>
                </c:pt>
                <c:pt idx="4">
                  <c:v>1.0000000000000005E-2</c:v>
                </c:pt>
                <c:pt idx="5">
                  <c:v>0</c:v>
                </c:pt>
              </c:numCache>
            </c:numRef>
          </c:val>
        </c:ser>
        <c:ser>
          <c:idx val="1"/>
          <c:order val="1"/>
          <c:tx>
            <c:strRef>
              <c:f>Sheet1!$C$1</c:f>
              <c:strCache>
                <c:ptCount val="1"/>
                <c:pt idx="0">
                  <c:v>Spring 2013</c:v>
                </c:pt>
              </c:strCache>
            </c:strRef>
          </c:tx>
          <c:invertIfNegative val="0"/>
          <c:cat>
            <c:strRef>
              <c:f>Sheet1!$A$2:$A$7</c:f>
              <c:strCache>
                <c:ptCount val="6"/>
                <c:pt idx="0">
                  <c:v>Online form</c:v>
                </c:pt>
                <c:pt idx="1">
                  <c:v>Office Visit</c:v>
                </c:pt>
                <c:pt idx="2">
                  <c:v>Faculty</c:v>
                </c:pt>
                <c:pt idx="3">
                  <c:v>Health &amp; Wellness</c:v>
                </c:pt>
                <c:pt idx="4">
                  <c:v>Dean of Students</c:v>
                </c:pt>
                <c:pt idx="5">
                  <c:v>Other</c:v>
                </c:pt>
              </c:strCache>
            </c:strRef>
          </c:cat>
          <c:val>
            <c:numRef>
              <c:f>Sheet1!$C$2:$C$7</c:f>
              <c:numCache>
                <c:formatCode>0%</c:formatCode>
                <c:ptCount val="6"/>
                <c:pt idx="0">
                  <c:v>0.19</c:v>
                </c:pt>
                <c:pt idx="1">
                  <c:v>0.45</c:v>
                </c:pt>
                <c:pt idx="2">
                  <c:v>7.0000000000000021E-2</c:v>
                </c:pt>
                <c:pt idx="3">
                  <c:v>7.0000000000000021E-2</c:v>
                </c:pt>
                <c:pt idx="4">
                  <c:v>0.1</c:v>
                </c:pt>
                <c:pt idx="5">
                  <c:v>0.12000000000000002</c:v>
                </c:pt>
              </c:numCache>
            </c:numRef>
          </c:val>
        </c:ser>
        <c:dLbls>
          <c:showLegendKey val="0"/>
          <c:showVal val="0"/>
          <c:showCatName val="0"/>
          <c:showSerName val="0"/>
          <c:showPercent val="0"/>
          <c:showBubbleSize val="0"/>
        </c:dLbls>
        <c:gapWidth val="150"/>
        <c:axId val="66148992"/>
        <c:axId val="66154880"/>
      </c:barChart>
      <c:catAx>
        <c:axId val="66148992"/>
        <c:scaling>
          <c:orientation val="minMax"/>
        </c:scaling>
        <c:delete val="0"/>
        <c:axPos val="b"/>
        <c:majorTickMark val="out"/>
        <c:minorTickMark val="none"/>
        <c:tickLblPos val="nextTo"/>
        <c:crossAx val="66154880"/>
        <c:crosses val="autoZero"/>
        <c:auto val="1"/>
        <c:lblAlgn val="ctr"/>
        <c:lblOffset val="100"/>
        <c:noMultiLvlLbl val="0"/>
      </c:catAx>
      <c:valAx>
        <c:axId val="66154880"/>
        <c:scaling>
          <c:orientation val="minMax"/>
        </c:scaling>
        <c:delete val="0"/>
        <c:axPos val="l"/>
        <c:majorGridlines/>
        <c:numFmt formatCode="0%" sourceLinked="1"/>
        <c:majorTickMark val="out"/>
        <c:minorTickMark val="none"/>
        <c:tickLblPos val="nextTo"/>
        <c:crossAx val="66148992"/>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Fall 2012</c:v>
                </c:pt>
              </c:strCache>
            </c:strRef>
          </c:tx>
          <c:invertIfNegative val="0"/>
          <c:cat>
            <c:strRef>
              <c:f>Sheet1!$A$2:$A$6</c:f>
              <c:strCache>
                <c:ptCount val="5"/>
                <c:pt idx="0">
                  <c:v>CAS Acceptance</c:v>
                </c:pt>
                <c:pt idx="1">
                  <c:v>CAS Denial</c:v>
                </c:pt>
                <c:pt idx="2">
                  <c:v>CAS Applied</c:v>
                </c:pt>
                <c:pt idx="3">
                  <c:v>Total Accepted</c:v>
                </c:pt>
                <c:pt idx="4">
                  <c:v>Total Applied</c:v>
                </c:pt>
              </c:strCache>
            </c:strRef>
          </c:cat>
          <c:val>
            <c:numRef>
              <c:f>Sheet1!$B$2:$B$6</c:f>
              <c:numCache>
                <c:formatCode>General</c:formatCode>
                <c:ptCount val="5"/>
                <c:pt idx="0">
                  <c:v>6</c:v>
                </c:pt>
                <c:pt idx="1">
                  <c:v>19</c:v>
                </c:pt>
                <c:pt idx="2">
                  <c:v>25</c:v>
                </c:pt>
                <c:pt idx="3">
                  <c:v>30</c:v>
                </c:pt>
                <c:pt idx="4">
                  <c:v>81</c:v>
                </c:pt>
              </c:numCache>
            </c:numRef>
          </c:val>
        </c:ser>
        <c:ser>
          <c:idx val="1"/>
          <c:order val="1"/>
          <c:tx>
            <c:strRef>
              <c:f>Sheet1!$C$1</c:f>
              <c:strCache>
                <c:ptCount val="1"/>
                <c:pt idx="0">
                  <c:v>Spring 2013</c:v>
                </c:pt>
              </c:strCache>
            </c:strRef>
          </c:tx>
          <c:invertIfNegative val="0"/>
          <c:cat>
            <c:strRef>
              <c:f>Sheet1!$A$2:$A$6</c:f>
              <c:strCache>
                <c:ptCount val="5"/>
                <c:pt idx="0">
                  <c:v>CAS Acceptance</c:v>
                </c:pt>
                <c:pt idx="1">
                  <c:v>CAS Denial</c:v>
                </c:pt>
                <c:pt idx="2">
                  <c:v>CAS Applied</c:v>
                </c:pt>
                <c:pt idx="3">
                  <c:v>Total Accepted</c:v>
                </c:pt>
                <c:pt idx="4">
                  <c:v>Total Applied</c:v>
                </c:pt>
              </c:strCache>
            </c:strRef>
          </c:cat>
          <c:val>
            <c:numRef>
              <c:f>Sheet1!$C$2:$C$6</c:f>
              <c:numCache>
                <c:formatCode>General</c:formatCode>
                <c:ptCount val="5"/>
                <c:pt idx="0">
                  <c:v>7</c:v>
                </c:pt>
                <c:pt idx="1">
                  <c:v>18</c:v>
                </c:pt>
                <c:pt idx="2">
                  <c:v>25</c:v>
                </c:pt>
                <c:pt idx="3">
                  <c:v>30</c:v>
                </c:pt>
                <c:pt idx="4">
                  <c:v>88</c:v>
                </c:pt>
              </c:numCache>
            </c:numRef>
          </c:val>
        </c:ser>
        <c:ser>
          <c:idx val="2"/>
          <c:order val="2"/>
          <c:tx>
            <c:strRef>
              <c:f>Sheet1!$D$1</c:f>
              <c:strCache>
                <c:ptCount val="1"/>
                <c:pt idx="0">
                  <c:v>Fall 2013</c:v>
                </c:pt>
              </c:strCache>
            </c:strRef>
          </c:tx>
          <c:invertIfNegative val="0"/>
          <c:cat>
            <c:strRef>
              <c:f>Sheet1!$A$2:$A$6</c:f>
              <c:strCache>
                <c:ptCount val="5"/>
                <c:pt idx="0">
                  <c:v>CAS Acceptance</c:v>
                </c:pt>
                <c:pt idx="1">
                  <c:v>CAS Denial</c:v>
                </c:pt>
                <c:pt idx="2">
                  <c:v>CAS Applied</c:v>
                </c:pt>
                <c:pt idx="3">
                  <c:v>Total Accepted</c:v>
                </c:pt>
                <c:pt idx="4">
                  <c:v>Total Applied</c:v>
                </c:pt>
              </c:strCache>
            </c:strRef>
          </c:cat>
          <c:val>
            <c:numRef>
              <c:f>Sheet1!$D$2:$D$6</c:f>
              <c:numCache>
                <c:formatCode>General</c:formatCode>
                <c:ptCount val="5"/>
                <c:pt idx="0">
                  <c:v>7</c:v>
                </c:pt>
                <c:pt idx="1">
                  <c:v>6</c:v>
                </c:pt>
                <c:pt idx="2">
                  <c:v>13</c:v>
                </c:pt>
                <c:pt idx="3">
                  <c:v>30</c:v>
                </c:pt>
                <c:pt idx="4">
                  <c:v>67</c:v>
                </c:pt>
              </c:numCache>
            </c:numRef>
          </c:val>
        </c:ser>
        <c:dLbls>
          <c:showLegendKey val="0"/>
          <c:showVal val="0"/>
          <c:showCatName val="0"/>
          <c:showSerName val="0"/>
          <c:showPercent val="0"/>
          <c:showBubbleSize val="0"/>
        </c:dLbls>
        <c:gapWidth val="150"/>
        <c:axId val="66472576"/>
        <c:axId val="66494848"/>
      </c:barChart>
      <c:catAx>
        <c:axId val="66472576"/>
        <c:scaling>
          <c:orientation val="minMax"/>
        </c:scaling>
        <c:delete val="0"/>
        <c:axPos val="b"/>
        <c:majorTickMark val="out"/>
        <c:minorTickMark val="none"/>
        <c:tickLblPos val="nextTo"/>
        <c:crossAx val="66494848"/>
        <c:crosses val="autoZero"/>
        <c:auto val="1"/>
        <c:lblAlgn val="ctr"/>
        <c:lblOffset val="100"/>
        <c:noMultiLvlLbl val="0"/>
      </c:catAx>
      <c:valAx>
        <c:axId val="66494848"/>
        <c:scaling>
          <c:orientation val="minMax"/>
        </c:scaling>
        <c:delete val="0"/>
        <c:axPos val="l"/>
        <c:majorGridlines/>
        <c:numFmt formatCode="General" sourceLinked="1"/>
        <c:majorTickMark val="out"/>
        <c:minorTickMark val="none"/>
        <c:tickLblPos val="nextTo"/>
        <c:crossAx val="664725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Early Alerts and Academic Standing</a:t>
            </a:r>
          </a:p>
        </c:rich>
      </c:tx>
      <c:overlay val="0"/>
    </c:title>
    <c:autoTitleDeleted val="0"/>
    <c:plotArea>
      <c:layout/>
      <c:barChart>
        <c:barDir val="bar"/>
        <c:grouping val="clustered"/>
        <c:varyColors val="0"/>
        <c:ser>
          <c:idx val="0"/>
          <c:order val="0"/>
          <c:tx>
            <c:strRef>
              <c:f>Sheet1!$B$1</c:f>
              <c:strCache>
                <c:ptCount val="1"/>
                <c:pt idx="0">
                  <c:v>Early Alerts</c:v>
                </c:pt>
              </c:strCache>
            </c:strRef>
          </c:tx>
          <c:invertIfNegative val="0"/>
          <c:dLbls>
            <c:showLegendKey val="0"/>
            <c:showVal val="1"/>
            <c:showCatName val="0"/>
            <c:showSerName val="0"/>
            <c:showPercent val="0"/>
            <c:showBubbleSize val="0"/>
            <c:showLeaderLines val="0"/>
          </c:dLbls>
          <c:cat>
            <c:strRef>
              <c:f>Sheet1!$A$2:$A$5</c:f>
              <c:strCache>
                <c:ptCount val="4"/>
                <c:pt idx="0">
                  <c:v>Probation</c:v>
                </c:pt>
                <c:pt idx="1">
                  <c:v>Watch</c:v>
                </c:pt>
                <c:pt idx="2">
                  <c:v>Dismissal</c:v>
                </c:pt>
                <c:pt idx="3">
                  <c:v>No award</c:v>
                </c:pt>
              </c:strCache>
            </c:strRef>
          </c:cat>
          <c:val>
            <c:numRef>
              <c:f>Sheet1!$B$2:$B$5</c:f>
              <c:numCache>
                <c:formatCode>General</c:formatCode>
                <c:ptCount val="4"/>
                <c:pt idx="0">
                  <c:v>76</c:v>
                </c:pt>
                <c:pt idx="1">
                  <c:v>12</c:v>
                </c:pt>
                <c:pt idx="2">
                  <c:v>16</c:v>
                </c:pt>
                <c:pt idx="3">
                  <c:v>26</c:v>
                </c:pt>
              </c:numCache>
            </c:numRef>
          </c:val>
        </c:ser>
        <c:dLbls>
          <c:showLegendKey val="0"/>
          <c:showVal val="0"/>
          <c:showCatName val="0"/>
          <c:showSerName val="0"/>
          <c:showPercent val="0"/>
          <c:showBubbleSize val="0"/>
        </c:dLbls>
        <c:gapWidth val="150"/>
        <c:axId val="63317888"/>
        <c:axId val="63316352"/>
      </c:barChart>
      <c:valAx>
        <c:axId val="63316352"/>
        <c:scaling>
          <c:orientation val="minMax"/>
        </c:scaling>
        <c:delete val="0"/>
        <c:axPos val="b"/>
        <c:majorGridlines/>
        <c:numFmt formatCode="General" sourceLinked="1"/>
        <c:majorTickMark val="out"/>
        <c:minorTickMark val="none"/>
        <c:tickLblPos val="nextTo"/>
        <c:crossAx val="63317888"/>
        <c:crosses val="autoZero"/>
        <c:crossBetween val="between"/>
      </c:valAx>
      <c:catAx>
        <c:axId val="63317888"/>
        <c:scaling>
          <c:orientation val="minMax"/>
        </c:scaling>
        <c:delete val="0"/>
        <c:axPos val="l"/>
        <c:majorTickMark val="out"/>
        <c:minorTickMark val="none"/>
        <c:tickLblPos val="nextTo"/>
        <c:crossAx val="63316352"/>
        <c:crosses val="autoZero"/>
        <c:auto val="1"/>
        <c:lblAlgn val="ctr"/>
        <c:lblOffset val="100"/>
        <c:noMultiLvlLbl val="0"/>
      </c:cat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Fall 2012</a:t>
            </a:r>
          </a:p>
        </c:rich>
      </c:tx>
      <c:overlay val="0"/>
    </c:title>
    <c:autoTitleDeleted val="0"/>
    <c:plotArea>
      <c:layout/>
      <c:pieChart>
        <c:varyColors val="1"/>
        <c:ser>
          <c:idx val="0"/>
          <c:order val="0"/>
          <c:tx>
            <c:strRef>
              <c:f>'Sheet1'!$B$1</c:f>
              <c:strCache>
                <c:ptCount val="1"/>
                <c:pt idx="0">
                  <c:v>Fall 2012</c:v>
                </c:pt>
              </c:strCache>
            </c:strRef>
          </c:tx>
          <c:dLbls>
            <c:showLegendKey val="0"/>
            <c:showVal val="0"/>
            <c:showCatName val="1"/>
            <c:showSerName val="0"/>
            <c:showPercent val="1"/>
            <c:showBubbleSize val="0"/>
            <c:showLeaderLines val="1"/>
          </c:dLbls>
          <c:cat>
            <c:strRef>
              <c:f>'Sheet1'!$A$2:$A$5</c:f>
              <c:strCache>
                <c:ptCount val="4"/>
                <c:pt idx="0">
                  <c:v>Medical</c:v>
                </c:pt>
                <c:pt idx="1">
                  <c:v>Family</c:v>
                </c:pt>
                <c:pt idx="2">
                  <c:v>Other</c:v>
                </c:pt>
                <c:pt idx="3">
                  <c:v>Personal</c:v>
                </c:pt>
              </c:strCache>
            </c:strRef>
          </c:cat>
          <c:val>
            <c:numRef>
              <c:f>'Sheet1'!$B$2:$B$5</c:f>
              <c:numCache>
                <c:formatCode>0%</c:formatCode>
                <c:ptCount val="4"/>
                <c:pt idx="0">
                  <c:v>0.54</c:v>
                </c:pt>
                <c:pt idx="1">
                  <c:v>0.26</c:v>
                </c:pt>
                <c:pt idx="2">
                  <c:v>2.0000000000000032E-2</c:v>
                </c:pt>
                <c:pt idx="3">
                  <c:v>0.18000000000000024</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Case Referrals</c:v>
                </c:pt>
              </c:strCache>
            </c:strRef>
          </c:tx>
          <c:invertIfNegative val="0"/>
          <c:cat>
            <c:strRef>
              <c:f>'Sheet1'!$A$2:$A$6</c:f>
              <c:strCache>
                <c:ptCount val="5"/>
                <c:pt idx="0">
                  <c:v>Online form</c:v>
                </c:pt>
                <c:pt idx="1">
                  <c:v>Office visit</c:v>
                </c:pt>
                <c:pt idx="2">
                  <c:v>Faculty referral</c:v>
                </c:pt>
                <c:pt idx="3">
                  <c:v>Health &amp; Wellness</c:v>
                </c:pt>
                <c:pt idx="4">
                  <c:v>Dean of Students</c:v>
                </c:pt>
              </c:strCache>
            </c:strRef>
          </c:cat>
          <c:val>
            <c:numRef>
              <c:f>'Sheet1'!$B$2:$B$6</c:f>
              <c:numCache>
                <c:formatCode>0%</c:formatCode>
                <c:ptCount val="5"/>
                <c:pt idx="0">
                  <c:v>0.18000000000000019</c:v>
                </c:pt>
                <c:pt idx="1">
                  <c:v>0.2</c:v>
                </c:pt>
                <c:pt idx="2">
                  <c:v>0.33000000000000052</c:v>
                </c:pt>
                <c:pt idx="3">
                  <c:v>0.12000000000000002</c:v>
                </c:pt>
                <c:pt idx="4">
                  <c:v>1.0000000000000005E-2</c:v>
                </c:pt>
              </c:numCache>
            </c:numRef>
          </c:val>
        </c:ser>
        <c:ser>
          <c:idx val="1"/>
          <c:order val="1"/>
          <c:tx>
            <c:strRef>
              <c:f>'Sheet1'!$C$1</c:f>
              <c:strCache>
                <c:ptCount val="1"/>
                <c:pt idx="0">
                  <c:v>Column1</c:v>
                </c:pt>
              </c:strCache>
            </c:strRef>
          </c:tx>
          <c:invertIfNegative val="0"/>
          <c:cat>
            <c:strRef>
              <c:f>'Sheet1'!$A$2:$A$6</c:f>
              <c:strCache>
                <c:ptCount val="5"/>
                <c:pt idx="0">
                  <c:v>Online form</c:v>
                </c:pt>
                <c:pt idx="1">
                  <c:v>Office visit</c:v>
                </c:pt>
                <c:pt idx="2">
                  <c:v>Faculty referral</c:v>
                </c:pt>
                <c:pt idx="3">
                  <c:v>Health &amp; Wellness</c:v>
                </c:pt>
                <c:pt idx="4">
                  <c:v>Dean of Students</c:v>
                </c:pt>
              </c:strCache>
            </c:strRef>
          </c:cat>
          <c:val>
            <c:numRef>
              <c:f>'Sheet1'!$C$2:$C$6</c:f>
              <c:numCache>
                <c:formatCode>General</c:formatCode>
                <c:ptCount val="5"/>
              </c:numCache>
            </c:numRef>
          </c:val>
        </c:ser>
        <c:ser>
          <c:idx val="2"/>
          <c:order val="2"/>
          <c:tx>
            <c:strRef>
              <c:f>'Sheet1'!$D$1</c:f>
              <c:strCache>
                <c:ptCount val="1"/>
                <c:pt idx="0">
                  <c:v>Column2</c:v>
                </c:pt>
              </c:strCache>
            </c:strRef>
          </c:tx>
          <c:invertIfNegative val="0"/>
          <c:cat>
            <c:strRef>
              <c:f>'Sheet1'!$A$2:$A$6</c:f>
              <c:strCache>
                <c:ptCount val="5"/>
                <c:pt idx="0">
                  <c:v>Online form</c:v>
                </c:pt>
                <c:pt idx="1">
                  <c:v>Office visit</c:v>
                </c:pt>
                <c:pt idx="2">
                  <c:v>Faculty referral</c:v>
                </c:pt>
                <c:pt idx="3">
                  <c:v>Health &amp; Wellness</c:v>
                </c:pt>
                <c:pt idx="4">
                  <c:v>Dean of Students</c:v>
                </c:pt>
              </c:strCache>
            </c:strRef>
          </c:cat>
          <c:val>
            <c:numRef>
              <c:f>'Sheet1'!$D$2:$D$6</c:f>
              <c:numCache>
                <c:formatCode>General</c:formatCode>
                <c:ptCount val="5"/>
              </c:numCache>
            </c:numRef>
          </c:val>
        </c:ser>
        <c:dLbls>
          <c:showLegendKey val="0"/>
          <c:showVal val="0"/>
          <c:showCatName val="0"/>
          <c:showSerName val="0"/>
          <c:showPercent val="0"/>
          <c:showBubbleSize val="0"/>
        </c:dLbls>
        <c:gapWidth val="150"/>
        <c:axId val="64572800"/>
        <c:axId val="64582784"/>
      </c:barChart>
      <c:catAx>
        <c:axId val="64572800"/>
        <c:scaling>
          <c:orientation val="minMax"/>
        </c:scaling>
        <c:delete val="0"/>
        <c:axPos val="b"/>
        <c:majorTickMark val="out"/>
        <c:minorTickMark val="none"/>
        <c:tickLblPos val="nextTo"/>
        <c:crossAx val="64582784"/>
        <c:crosses val="autoZero"/>
        <c:auto val="1"/>
        <c:lblAlgn val="ctr"/>
        <c:lblOffset val="100"/>
        <c:noMultiLvlLbl val="0"/>
      </c:catAx>
      <c:valAx>
        <c:axId val="64582784"/>
        <c:scaling>
          <c:orientation val="minMax"/>
        </c:scaling>
        <c:delete val="0"/>
        <c:axPos val="l"/>
        <c:majorGridlines/>
        <c:numFmt formatCode="0%" sourceLinked="1"/>
        <c:majorTickMark val="out"/>
        <c:minorTickMark val="none"/>
        <c:tickLblPos val="nextTo"/>
        <c:crossAx val="64572800"/>
        <c:crosses val="autoZero"/>
        <c:crossBetween val="between"/>
      </c:valAx>
    </c:plotArea>
    <c:legend>
      <c:legendPos val="r"/>
      <c:legendEntry>
        <c:idx val="1"/>
        <c:delete val="1"/>
      </c:legendEntry>
      <c:legendEntry>
        <c:idx val="2"/>
        <c:delete val="1"/>
      </c:legendEntry>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v>Academic Standing</c:v>
          </c:tx>
          <c:invertIfNegative val="0"/>
          <c:cat>
            <c:strLit>
              <c:ptCount val="5"/>
              <c:pt idx="0">
                <c:v>Academic Watch</c:v>
              </c:pt>
              <c:pt idx="1">
                <c:v> Probation 1</c:v>
              </c:pt>
              <c:pt idx="2">
                <c:v> Probation 2</c:v>
              </c:pt>
              <c:pt idx="3">
                <c:v> Cont. Probation 2</c:v>
              </c:pt>
              <c:pt idx="4">
                <c:v> Academic  Dismissal</c:v>
              </c:pt>
            </c:strLit>
          </c:cat>
          <c:val>
            <c:numRef>
              <c:f>Sheet1!$A$1:$A$5</c:f>
              <c:numCache>
                <c:formatCode>0%</c:formatCode>
                <c:ptCount val="5"/>
                <c:pt idx="0">
                  <c:v>0.13</c:v>
                </c:pt>
                <c:pt idx="1">
                  <c:v>0.52</c:v>
                </c:pt>
                <c:pt idx="2">
                  <c:v>0.26</c:v>
                </c:pt>
                <c:pt idx="3">
                  <c:v>4.0000000000000022E-2</c:v>
                </c:pt>
                <c:pt idx="4">
                  <c:v>4.0000000000000022E-2</c:v>
                </c:pt>
              </c:numCache>
            </c:numRef>
          </c:val>
        </c:ser>
        <c:dLbls>
          <c:showLegendKey val="0"/>
          <c:showVal val="0"/>
          <c:showCatName val="0"/>
          <c:showSerName val="0"/>
          <c:showPercent val="0"/>
          <c:showBubbleSize val="0"/>
        </c:dLbls>
        <c:gapWidth val="150"/>
        <c:axId val="63113088"/>
        <c:axId val="63114624"/>
      </c:barChart>
      <c:catAx>
        <c:axId val="63113088"/>
        <c:scaling>
          <c:orientation val="minMax"/>
        </c:scaling>
        <c:delete val="0"/>
        <c:axPos val="l"/>
        <c:majorTickMark val="out"/>
        <c:minorTickMark val="none"/>
        <c:tickLblPos val="nextTo"/>
        <c:crossAx val="63114624"/>
        <c:crosses val="autoZero"/>
        <c:auto val="1"/>
        <c:lblAlgn val="ctr"/>
        <c:lblOffset val="100"/>
        <c:noMultiLvlLbl val="0"/>
      </c:catAx>
      <c:valAx>
        <c:axId val="63114624"/>
        <c:scaling>
          <c:orientation val="minMax"/>
        </c:scaling>
        <c:delete val="0"/>
        <c:axPos val="b"/>
        <c:majorGridlines/>
        <c:numFmt formatCode="0%" sourceLinked="1"/>
        <c:majorTickMark val="out"/>
        <c:minorTickMark val="none"/>
        <c:tickLblPos val="nextTo"/>
        <c:crossAx val="6311308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Spring 2013</a:t>
            </a:r>
          </a:p>
        </c:rich>
      </c:tx>
      <c:overlay val="0"/>
    </c:title>
    <c:autoTitleDeleted val="0"/>
    <c:plotArea>
      <c:layout/>
      <c:pieChart>
        <c:varyColors val="1"/>
        <c:ser>
          <c:idx val="0"/>
          <c:order val="0"/>
          <c:tx>
            <c:strRef>
              <c:f>'Sheet1'!$B$1</c:f>
              <c:strCache>
                <c:ptCount val="1"/>
                <c:pt idx="0">
                  <c:v>Spring 2013</c:v>
                </c:pt>
              </c:strCache>
            </c:strRef>
          </c:tx>
          <c:dLbls>
            <c:dLbl>
              <c:idx val="0"/>
              <c:layout>
                <c:manualLayout>
                  <c:x val="1.1334889671454395E-3"/>
                  <c:y val="-0.13543843189814062"/>
                </c:manualLayout>
              </c:layout>
              <c:tx>
                <c:rich>
                  <a:bodyPr/>
                  <a:lstStyle/>
                  <a:p>
                    <a:r>
                      <a:rPr lang="en-US"/>
                      <a:t>Medical</a:t>
                    </a:r>
                  </a:p>
                  <a:p>
                    <a:r>
                      <a:rPr lang="en-US"/>
                      <a:t>60%</a:t>
                    </a:r>
                  </a:p>
                </c:rich>
              </c:tx>
              <c:showLegendKey val="0"/>
              <c:showVal val="1"/>
              <c:showCatName val="0"/>
              <c:showSerName val="0"/>
              <c:showPercent val="0"/>
              <c:showBubbleSize val="0"/>
            </c:dLbl>
            <c:dLbl>
              <c:idx val="1"/>
              <c:layout>
                <c:manualLayout>
                  <c:x val="-2.8960286999300967E-2"/>
                  <c:y val="-8.5729602948567699E-2"/>
                </c:manualLayout>
              </c:layout>
              <c:tx>
                <c:rich>
                  <a:bodyPr/>
                  <a:lstStyle/>
                  <a:p>
                    <a:r>
                      <a:rPr lang="en-US"/>
                      <a:t>Personal</a:t>
                    </a:r>
                  </a:p>
                  <a:p>
                    <a:r>
                      <a:rPr lang="en-US"/>
                      <a:t>7%</a:t>
                    </a:r>
                  </a:p>
                  <a:p>
                    <a:endParaRPr lang="en-US"/>
                  </a:p>
                </c:rich>
              </c:tx>
              <c:showLegendKey val="0"/>
              <c:showVal val="1"/>
              <c:showCatName val="0"/>
              <c:showSerName val="0"/>
              <c:showPercent val="0"/>
              <c:showBubbleSize val="0"/>
            </c:dLbl>
            <c:dLbl>
              <c:idx val="2"/>
              <c:layout>
                <c:manualLayout>
                  <c:x val="-4.1713290863767731E-2"/>
                  <c:y val="-1.384173786787291E-2"/>
                </c:manualLayout>
              </c:layout>
              <c:tx>
                <c:rich>
                  <a:bodyPr/>
                  <a:lstStyle/>
                  <a:p>
                    <a:r>
                      <a:rPr lang="en-US"/>
                      <a:t>Family</a:t>
                    </a:r>
                  </a:p>
                  <a:p>
                    <a:r>
                      <a:rPr lang="en-US"/>
                      <a:t>33%</a:t>
                    </a:r>
                  </a:p>
                  <a:p>
                    <a:endParaRPr lang="en-US"/>
                  </a:p>
                </c:rich>
              </c:tx>
              <c:showLegendKey val="0"/>
              <c:showVal val="1"/>
              <c:showCatName val="0"/>
              <c:showSerName val="0"/>
              <c:showPercent val="0"/>
              <c:showBubbleSize val="0"/>
            </c:dLbl>
            <c:dLbl>
              <c:idx val="3"/>
              <c:tx>
                <c:rich>
                  <a:bodyPr/>
                  <a:lstStyle/>
                  <a:p>
                    <a:endParaRPr lang="en-US"/>
                  </a:p>
                  <a:p>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'Sheet1'!$A$2:$A$5</c:f>
              <c:strCache>
                <c:ptCount val="4"/>
                <c:pt idx="0">
                  <c:v>Medical</c:v>
                </c:pt>
                <c:pt idx="1">
                  <c:v>Personal</c:v>
                </c:pt>
                <c:pt idx="2">
                  <c:v>Family</c:v>
                </c:pt>
                <c:pt idx="3">
                  <c:v>Other</c:v>
                </c:pt>
              </c:strCache>
            </c:strRef>
          </c:cat>
          <c:val>
            <c:numRef>
              <c:f>'Sheet1'!$B$2:$B$5</c:f>
              <c:numCache>
                <c:formatCode>General</c:formatCode>
                <c:ptCount val="4"/>
                <c:pt idx="0">
                  <c:v>60</c:v>
                </c:pt>
                <c:pt idx="1">
                  <c:v>7</c:v>
                </c:pt>
                <c:pt idx="2">
                  <c:v>33</c:v>
                </c:pt>
                <c:pt idx="3">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Medical</c:v>
                </c:pt>
              </c:strCache>
            </c:strRef>
          </c:tx>
          <c:invertIfNegative val="0"/>
          <c:cat>
            <c:strRef>
              <c:f>Sheet1!$A$2:$A$6</c:f>
              <c:strCache>
                <c:ptCount val="5"/>
                <c:pt idx="0">
                  <c:v>Freshman</c:v>
                </c:pt>
                <c:pt idx="1">
                  <c:v>Sophomore</c:v>
                </c:pt>
                <c:pt idx="2">
                  <c:v>Junior</c:v>
                </c:pt>
                <c:pt idx="3">
                  <c:v>Senior</c:v>
                </c:pt>
                <c:pt idx="4">
                  <c:v>Transfer</c:v>
                </c:pt>
              </c:strCache>
            </c:strRef>
          </c:cat>
          <c:val>
            <c:numRef>
              <c:f>Sheet1!$B$2:$B$6</c:f>
              <c:numCache>
                <c:formatCode>0%</c:formatCode>
                <c:ptCount val="5"/>
                <c:pt idx="0">
                  <c:v>0.56999999999999995</c:v>
                </c:pt>
                <c:pt idx="1">
                  <c:v>0.64000000000000079</c:v>
                </c:pt>
                <c:pt idx="2">
                  <c:v>0.4</c:v>
                </c:pt>
                <c:pt idx="3">
                  <c:v>1</c:v>
                </c:pt>
                <c:pt idx="4">
                  <c:v>0</c:v>
                </c:pt>
              </c:numCache>
            </c:numRef>
          </c:val>
        </c:ser>
        <c:ser>
          <c:idx val="1"/>
          <c:order val="1"/>
          <c:tx>
            <c:strRef>
              <c:f>Sheet1!$C$1</c:f>
              <c:strCache>
                <c:ptCount val="1"/>
                <c:pt idx="0">
                  <c:v>Personal</c:v>
                </c:pt>
              </c:strCache>
            </c:strRef>
          </c:tx>
          <c:invertIfNegative val="0"/>
          <c:cat>
            <c:strRef>
              <c:f>Sheet1!$A$2:$A$6</c:f>
              <c:strCache>
                <c:ptCount val="5"/>
                <c:pt idx="0">
                  <c:v>Freshman</c:v>
                </c:pt>
                <c:pt idx="1">
                  <c:v>Sophomore</c:v>
                </c:pt>
                <c:pt idx="2">
                  <c:v>Junior</c:v>
                </c:pt>
                <c:pt idx="3">
                  <c:v>Senior</c:v>
                </c:pt>
                <c:pt idx="4">
                  <c:v>Transfer</c:v>
                </c:pt>
              </c:strCache>
            </c:strRef>
          </c:cat>
          <c:val>
            <c:numRef>
              <c:f>Sheet1!$C$2:$C$6</c:f>
              <c:numCache>
                <c:formatCode>0%</c:formatCode>
                <c:ptCount val="5"/>
                <c:pt idx="0">
                  <c:v>0.14000000000000001</c:v>
                </c:pt>
                <c:pt idx="1">
                  <c:v>0</c:v>
                </c:pt>
                <c:pt idx="2">
                  <c:v>0</c:v>
                </c:pt>
                <c:pt idx="3">
                  <c:v>0</c:v>
                </c:pt>
                <c:pt idx="4">
                  <c:v>0</c:v>
                </c:pt>
              </c:numCache>
            </c:numRef>
          </c:val>
        </c:ser>
        <c:ser>
          <c:idx val="2"/>
          <c:order val="2"/>
          <c:tx>
            <c:strRef>
              <c:f>Sheet1!$D$1</c:f>
              <c:strCache>
                <c:ptCount val="1"/>
                <c:pt idx="0">
                  <c:v>Family</c:v>
                </c:pt>
              </c:strCache>
            </c:strRef>
          </c:tx>
          <c:invertIfNegative val="0"/>
          <c:cat>
            <c:strRef>
              <c:f>Sheet1!$A$2:$A$6</c:f>
              <c:strCache>
                <c:ptCount val="5"/>
                <c:pt idx="0">
                  <c:v>Freshman</c:v>
                </c:pt>
                <c:pt idx="1">
                  <c:v>Sophomore</c:v>
                </c:pt>
                <c:pt idx="2">
                  <c:v>Junior</c:v>
                </c:pt>
                <c:pt idx="3">
                  <c:v>Senior</c:v>
                </c:pt>
                <c:pt idx="4">
                  <c:v>Transfer</c:v>
                </c:pt>
              </c:strCache>
            </c:strRef>
          </c:cat>
          <c:val>
            <c:numRef>
              <c:f>Sheet1!$D$2:$D$6</c:f>
              <c:numCache>
                <c:formatCode>0%</c:formatCode>
                <c:ptCount val="5"/>
                <c:pt idx="0">
                  <c:v>0.29000000000000031</c:v>
                </c:pt>
                <c:pt idx="1">
                  <c:v>0.36000000000000032</c:v>
                </c:pt>
                <c:pt idx="2">
                  <c:v>0.60000000000000064</c:v>
                </c:pt>
                <c:pt idx="3">
                  <c:v>0</c:v>
                </c:pt>
                <c:pt idx="4">
                  <c:v>0</c:v>
                </c:pt>
              </c:numCache>
            </c:numRef>
          </c:val>
        </c:ser>
        <c:ser>
          <c:idx val="3"/>
          <c:order val="3"/>
          <c:tx>
            <c:strRef>
              <c:f>Sheet1!$E$1</c:f>
              <c:strCache>
                <c:ptCount val="1"/>
                <c:pt idx="0">
                  <c:v>Other</c:v>
                </c:pt>
              </c:strCache>
            </c:strRef>
          </c:tx>
          <c:invertIfNegative val="0"/>
          <c:cat>
            <c:strRef>
              <c:f>Sheet1!$A$2:$A$6</c:f>
              <c:strCache>
                <c:ptCount val="5"/>
                <c:pt idx="0">
                  <c:v>Freshman</c:v>
                </c:pt>
                <c:pt idx="1">
                  <c:v>Sophomore</c:v>
                </c:pt>
                <c:pt idx="2">
                  <c:v>Junior</c:v>
                </c:pt>
                <c:pt idx="3">
                  <c:v>Senior</c:v>
                </c:pt>
                <c:pt idx="4">
                  <c:v>Transfer</c:v>
                </c:pt>
              </c:strCache>
            </c:strRef>
          </c:cat>
          <c:val>
            <c:numRef>
              <c:f>Sheet1!$E$2:$E$6</c:f>
              <c:numCache>
                <c:formatCode>0%</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150"/>
        <c:axId val="65051264"/>
        <c:axId val="65065344"/>
      </c:barChart>
      <c:catAx>
        <c:axId val="65051264"/>
        <c:scaling>
          <c:orientation val="minMax"/>
        </c:scaling>
        <c:delete val="0"/>
        <c:axPos val="b"/>
        <c:majorTickMark val="out"/>
        <c:minorTickMark val="none"/>
        <c:tickLblPos val="nextTo"/>
        <c:crossAx val="65065344"/>
        <c:crosses val="autoZero"/>
        <c:auto val="1"/>
        <c:lblAlgn val="ctr"/>
        <c:lblOffset val="100"/>
        <c:noMultiLvlLbl val="0"/>
      </c:catAx>
      <c:valAx>
        <c:axId val="65065344"/>
        <c:scaling>
          <c:orientation val="minMax"/>
        </c:scaling>
        <c:delete val="0"/>
        <c:axPos val="l"/>
        <c:majorGridlines/>
        <c:numFmt formatCode="0%" sourceLinked="1"/>
        <c:majorTickMark val="out"/>
        <c:minorTickMark val="none"/>
        <c:tickLblPos val="nextTo"/>
        <c:crossAx val="6505126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Fall 2012</c:v>
                </c:pt>
              </c:strCache>
            </c:strRef>
          </c:tx>
          <c:invertIfNegative val="0"/>
          <c:cat>
            <c:strRef>
              <c:f>Sheet1!$A$2:$A$5</c:f>
              <c:strCache>
                <c:ptCount val="4"/>
                <c:pt idx="0">
                  <c:v>Medical</c:v>
                </c:pt>
                <c:pt idx="1">
                  <c:v>Personal</c:v>
                </c:pt>
                <c:pt idx="2">
                  <c:v>Family</c:v>
                </c:pt>
                <c:pt idx="3">
                  <c:v>Other</c:v>
                </c:pt>
              </c:strCache>
            </c:strRef>
          </c:cat>
          <c:val>
            <c:numRef>
              <c:f>Sheet1!$B$2:$B$5</c:f>
              <c:numCache>
                <c:formatCode>0%</c:formatCode>
                <c:ptCount val="4"/>
                <c:pt idx="0">
                  <c:v>0.54</c:v>
                </c:pt>
                <c:pt idx="1">
                  <c:v>0.1800000000000001</c:v>
                </c:pt>
                <c:pt idx="2">
                  <c:v>0.26</c:v>
                </c:pt>
                <c:pt idx="3">
                  <c:v>2.0000000000000011E-2</c:v>
                </c:pt>
              </c:numCache>
            </c:numRef>
          </c:val>
        </c:ser>
        <c:ser>
          <c:idx val="1"/>
          <c:order val="1"/>
          <c:tx>
            <c:strRef>
              <c:f>Sheet1!$C$1</c:f>
              <c:strCache>
                <c:ptCount val="1"/>
                <c:pt idx="0">
                  <c:v>Spring 2013</c:v>
                </c:pt>
              </c:strCache>
            </c:strRef>
          </c:tx>
          <c:invertIfNegative val="0"/>
          <c:cat>
            <c:strRef>
              <c:f>Sheet1!$A$2:$A$5</c:f>
              <c:strCache>
                <c:ptCount val="4"/>
                <c:pt idx="0">
                  <c:v>Medical</c:v>
                </c:pt>
                <c:pt idx="1">
                  <c:v>Personal</c:v>
                </c:pt>
                <c:pt idx="2">
                  <c:v>Family</c:v>
                </c:pt>
                <c:pt idx="3">
                  <c:v>Other</c:v>
                </c:pt>
              </c:strCache>
            </c:strRef>
          </c:cat>
          <c:val>
            <c:numRef>
              <c:f>Sheet1!$C$2:$C$5</c:f>
              <c:numCache>
                <c:formatCode>0%</c:formatCode>
                <c:ptCount val="4"/>
                <c:pt idx="0">
                  <c:v>0.60000000000000042</c:v>
                </c:pt>
                <c:pt idx="1">
                  <c:v>7.0000000000000021E-2</c:v>
                </c:pt>
                <c:pt idx="2">
                  <c:v>0.33000000000000035</c:v>
                </c:pt>
                <c:pt idx="3">
                  <c:v>0</c:v>
                </c:pt>
              </c:numCache>
            </c:numRef>
          </c:val>
        </c:ser>
        <c:dLbls>
          <c:showLegendKey val="0"/>
          <c:showVal val="0"/>
          <c:showCatName val="0"/>
          <c:showSerName val="0"/>
          <c:showPercent val="0"/>
          <c:showBubbleSize val="0"/>
        </c:dLbls>
        <c:gapWidth val="150"/>
        <c:shape val="box"/>
        <c:axId val="64821120"/>
        <c:axId val="64822656"/>
        <c:axId val="63145728"/>
      </c:bar3DChart>
      <c:catAx>
        <c:axId val="64821120"/>
        <c:scaling>
          <c:orientation val="minMax"/>
        </c:scaling>
        <c:delete val="0"/>
        <c:axPos val="b"/>
        <c:majorTickMark val="out"/>
        <c:minorTickMark val="none"/>
        <c:tickLblPos val="nextTo"/>
        <c:crossAx val="64822656"/>
        <c:crosses val="autoZero"/>
        <c:auto val="1"/>
        <c:lblAlgn val="ctr"/>
        <c:lblOffset val="100"/>
        <c:noMultiLvlLbl val="0"/>
      </c:catAx>
      <c:valAx>
        <c:axId val="64822656"/>
        <c:scaling>
          <c:orientation val="minMax"/>
        </c:scaling>
        <c:delete val="0"/>
        <c:axPos val="l"/>
        <c:majorGridlines/>
        <c:numFmt formatCode="0%" sourceLinked="1"/>
        <c:majorTickMark val="out"/>
        <c:minorTickMark val="none"/>
        <c:tickLblPos val="nextTo"/>
        <c:crossAx val="64821120"/>
        <c:crosses val="autoZero"/>
        <c:crossBetween val="between"/>
      </c:valAx>
      <c:serAx>
        <c:axId val="63145728"/>
        <c:scaling>
          <c:orientation val="minMax"/>
        </c:scaling>
        <c:delete val="0"/>
        <c:axPos val="b"/>
        <c:majorTickMark val="out"/>
        <c:minorTickMark val="none"/>
        <c:tickLblPos val="nextTo"/>
        <c:crossAx val="64822656"/>
        <c:crosses val="autoZero"/>
      </c:ser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9.000966382470163E-2"/>
          <c:y val="7.0163484466402484E-2"/>
          <c:w val="0.68396775261849474"/>
          <c:h val="0.71206079632202834"/>
        </c:manualLayout>
      </c:layout>
      <c:bar3DChart>
        <c:barDir val="col"/>
        <c:grouping val="standard"/>
        <c:varyColors val="0"/>
        <c:ser>
          <c:idx val="0"/>
          <c:order val="0"/>
          <c:tx>
            <c:strRef>
              <c:f>Sheet1!$B$1</c:f>
              <c:strCache>
                <c:ptCount val="1"/>
                <c:pt idx="0">
                  <c:v>Watch</c:v>
                </c:pt>
              </c:strCache>
            </c:strRef>
          </c:tx>
          <c:invertIfNegative val="0"/>
          <c:cat>
            <c:strRef>
              <c:f>Sheet1!$A$2:$A$6</c:f>
              <c:strCache>
                <c:ptCount val="5"/>
                <c:pt idx="0">
                  <c:v>Freshman</c:v>
                </c:pt>
                <c:pt idx="1">
                  <c:v>Sophomore</c:v>
                </c:pt>
                <c:pt idx="2">
                  <c:v>Junior</c:v>
                </c:pt>
                <c:pt idx="3">
                  <c:v>Senior</c:v>
                </c:pt>
                <c:pt idx="4">
                  <c:v>Transfer</c:v>
                </c:pt>
              </c:strCache>
            </c:strRef>
          </c:cat>
          <c:val>
            <c:numRef>
              <c:f>Sheet1!$B$2:$B$6</c:f>
              <c:numCache>
                <c:formatCode>0%</c:formatCode>
                <c:ptCount val="5"/>
                <c:pt idx="0">
                  <c:v>0.1</c:v>
                </c:pt>
                <c:pt idx="1">
                  <c:v>2.0000000000000011E-2</c:v>
                </c:pt>
                <c:pt idx="2">
                  <c:v>2.0000000000000011E-2</c:v>
                </c:pt>
                <c:pt idx="3">
                  <c:v>0</c:v>
                </c:pt>
                <c:pt idx="4">
                  <c:v>0</c:v>
                </c:pt>
              </c:numCache>
            </c:numRef>
          </c:val>
        </c:ser>
        <c:ser>
          <c:idx val="1"/>
          <c:order val="1"/>
          <c:tx>
            <c:strRef>
              <c:f>Sheet1!$C$1</c:f>
              <c:strCache>
                <c:ptCount val="1"/>
                <c:pt idx="0">
                  <c:v>Warning</c:v>
                </c:pt>
              </c:strCache>
            </c:strRef>
          </c:tx>
          <c:invertIfNegative val="0"/>
          <c:cat>
            <c:strRef>
              <c:f>Sheet1!$A$2:$A$6</c:f>
              <c:strCache>
                <c:ptCount val="5"/>
                <c:pt idx="0">
                  <c:v>Freshman</c:v>
                </c:pt>
                <c:pt idx="1">
                  <c:v>Sophomore</c:v>
                </c:pt>
                <c:pt idx="2">
                  <c:v>Junior</c:v>
                </c:pt>
                <c:pt idx="3">
                  <c:v>Senior</c:v>
                </c:pt>
                <c:pt idx="4">
                  <c:v>Transfer</c:v>
                </c:pt>
              </c:strCache>
            </c:strRef>
          </c:cat>
          <c:val>
            <c:numRef>
              <c:f>Sheet1!$C$2:$C$6</c:f>
              <c:numCache>
                <c:formatCode>0%</c:formatCode>
                <c:ptCount val="5"/>
                <c:pt idx="0">
                  <c:v>2.0000000000000011E-2</c:v>
                </c:pt>
                <c:pt idx="1">
                  <c:v>0</c:v>
                </c:pt>
                <c:pt idx="2">
                  <c:v>0</c:v>
                </c:pt>
                <c:pt idx="3">
                  <c:v>0</c:v>
                </c:pt>
                <c:pt idx="4">
                  <c:v>0</c:v>
                </c:pt>
              </c:numCache>
            </c:numRef>
          </c:val>
        </c:ser>
        <c:ser>
          <c:idx val="2"/>
          <c:order val="2"/>
          <c:tx>
            <c:strRef>
              <c:f>Sheet1!$D$1</c:f>
              <c:strCache>
                <c:ptCount val="1"/>
                <c:pt idx="0">
                  <c:v>Probation 1</c:v>
                </c:pt>
              </c:strCache>
            </c:strRef>
          </c:tx>
          <c:invertIfNegative val="0"/>
          <c:cat>
            <c:strRef>
              <c:f>Sheet1!$A$2:$A$6</c:f>
              <c:strCache>
                <c:ptCount val="5"/>
                <c:pt idx="0">
                  <c:v>Freshman</c:v>
                </c:pt>
                <c:pt idx="1">
                  <c:v>Sophomore</c:v>
                </c:pt>
                <c:pt idx="2">
                  <c:v>Junior</c:v>
                </c:pt>
                <c:pt idx="3">
                  <c:v>Senior</c:v>
                </c:pt>
                <c:pt idx="4">
                  <c:v>Transfer</c:v>
                </c:pt>
              </c:strCache>
            </c:strRef>
          </c:cat>
          <c:val>
            <c:numRef>
              <c:f>Sheet1!$D$2:$D$6</c:f>
              <c:numCache>
                <c:formatCode>0%</c:formatCode>
                <c:ptCount val="5"/>
                <c:pt idx="0">
                  <c:v>0.05</c:v>
                </c:pt>
                <c:pt idx="1">
                  <c:v>0.05</c:v>
                </c:pt>
                <c:pt idx="2">
                  <c:v>0.05</c:v>
                </c:pt>
                <c:pt idx="3">
                  <c:v>2.0000000000000011E-2</c:v>
                </c:pt>
                <c:pt idx="4">
                  <c:v>0</c:v>
                </c:pt>
              </c:numCache>
            </c:numRef>
          </c:val>
        </c:ser>
        <c:ser>
          <c:idx val="3"/>
          <c:order val="3"/>
          <c:tx>
            <c:strRef>
              <c:f>Sheet1!$E$1</c:f>
              <c:strCache>
                <c:ptCount val="1"/>
                <c:pt idx="0">
                  <c:v>Probation 2</c:v>
                </c:pt>
              </c:strCache>
            </c:strRef>
          </c:tx>
          <c:invertIfNegative val="0"/>
          <c:cat>
            <c:strRef>
              <c:f>Sheet1!$A$2:$A$6</c:f>
              <c:strCache>
                <c:ptCount val="5"/>
                <c:pt idx="0">
                  <c:v>Freshman</c:v>
                </c:pt>
                <c:pt idx="1">
                  <c:v>Sophomore</c:v>
                </c:pt>
                <c:pt idx="2">
                  <c:v>Junior</c:v>
                </c:pt>
                <c:pt idx="3">
                  <c:v>Senior</c:v>
                </c:pt>
                <c:pt idx="4">
                  <c:v>Transfer</c:v>
                </c:pt>
              </c:strCache>
            </c:strRef>
          </c:cat>
          <c:val>
            <c:numRef>
              <c:f>Sheet1!$E$2:$E$6</c:f>
              <c:numCache>
                <c:formatCode>0%</c:formatCode>
                <c:ptCount val="5"/>
                <c:pt idx="0">
                  <c:v>0.12000000000000002</c:v>
                </c:pt>
                <c:pt idx="1">
                  <c:v>2.0000000000000011E-2</c:v>
                </c:pt>
                <c:pt idx="2">
                  <c:v>0</c:v>
                </c:pt>
                <c:pt idx="3">
                  <c:v>0</c:v>
                </c:pt>
                <c:pt idx="4">
                  <c:v>0</c:v>
                </c:pt>
              </c:numCache>
            </c:numRef>
          </c:val>
        </c:ser>
        <c:ser>
          <c:idx val="4"/>
          <c:order val="4"/>
          <c:tx>
            <c:strRef>
              <c:f>Sheet1!$F$1</c:f>
              <c:strCache>
                <c:ptCount val="1"/>
                <c:pt idx="0">
                  <c:v>Dismissal</c:v>
                </c:pt>
              </c:strCache>
            </c:strRef>
          </c:tx>
          <c:invertIfNegative val="0"/>
          <c:cat>
            <c:strRef>
              <c:f>Sheet1!$A$2:$A$6</c:f>
              <c:strCache>
                <c:ptCount val="5"/>
                <c:pt idx="0">
                  <c:v>Freshman</c:v>
                </c:pt>
                <c:pt idx="1">
                  <c:v>Sophomore</c:v>
                </c:pt>
                <c:pt idx="2">
                  <c:v>Junior</c:v>
                </c:pt>
                <c:pt idx="3">
                  <c:v>Senior</c:v>
                </c:pt>
                <c:pt idx="4">
                  <c:v>Transfer</c:v>
                </c:pt>
              </c:strCache>
            </c:strRef>
          </c:cat>
          <c:val>
            <c:numRef>
              <c:f>Sheet1!$F$2:$F$6</c:f>
              <c:numCache>
                <c:formatCode>0%</c:formatCode>
                <c:ptCount val="5"/>
                <c:pt idx="0">
                  <c:v>0.05</c:v>
                </c:pt>
                <c:pt idx="1">
                  <c:v>0</c:v>
                </c:pt>
                <c:pt idx="2">
                  <c:v>0</c:v>
                </c:pt>
                <c:pt idx="3">
                  <c:v>0</c:v>
                </c:pt>
                <c:pt idx="4">
                  <c:v>0</c:v>
                </c:pt>
              </c:numCache>
            </c:numRef>
          </c:val>
        </c:ser>
        <c:ser>
          <c:idx val="5"/>
          <c:order val="5"/>
          <c:tx>
            <c:strRef>
              <c:f>Sheet1!$G$1</c:f>
              <c:strCache>
                <c:ptCount val="1"/>
                <c:pt idx="0">
                  <c:v>No Award</c:v>
                </c:pt>
              </c:strCache>
            </c:strRef>
          </c:tx>
          <c:invertIfNegative val="0"/>
          <c:cat>
            <c:strRef>
              <c:f>Sheet1!$A$2:$A$6</c:f>
              <c:strCache>
                <c:ptCount val="5"/>
                <c:pt idx="0">
                  <c:v>Freshman</c:v>
                </c:pt>
                <c:pt idx="1">
                  <c:v>Sophomore</c:v>
                </c:pt>
                <c:pt idx="2">
                  <c:v>Junior</c:v>
                </c:pt>
                <c:pt idx="3">
                  <c:v>Senior</c:v>
                </c:pt>
                <c:pt idx="4">
                  <c:v>Transfer</c:v>
                </c:pt>
              </c:strCache>
            </c:strRef>
          </c:cat>
          <c:val>
            <c:numRef>
              <c:f>Sheet1!$G$2:$G$6</c:f>
              <c:numCache>
                <c:formatCode>0%</c:formatCode>
                <c:ptCount val="5"/>
                <c:pt idx="0">
                  <c:v>0.17</c:v>
                </c:pt>
                <c:pt idx="1">
                  <c:v>0.2400000000000001</c:v>
                </c:pt>
                <c:pt idx="2">
                  <c:v>0.05</c:v>
                </c:pt>
                <c:pt idx="3">
                  <c:v>2.0000000000000011E-2</c:v>
                </c:pt>
                <c:pt idx="4">
                  <c:v>0</c:v>
                </c:pt>
              </c:numCache>
            </c:numRef>
          </c:val>
        </c:ser>
        <c:dLbls>
          <c:showLegendKey val="0"/>
          <c:showVal val="0"/>
          <c:showCatName val="0"/>
          <c:showSerName val="0"/>
          <c:showPercent val="0"/>
          <c:showBubbleSize val="0"/>
        </c:dLbls>
        <c:gapWidth val="150"/>
        <c:shape val="box"/>
        <c:axId val="64899712"/>
        <c:axId val="64909696"/>
        <c:axId val="64832832"/>
      </c:bar3DChart>
      <c:catAx>
        <c:axId val="64899712"/>
        <c:scaling>
          <c:orientation val="minMax"/>
        </c:scaling>
        <c:delete val="0"/>
        <c:axPos val="b"/>
        <c:majorTickMark val="out"/>
        <c:minorTickMark val="none"/>
        <c:tickLblPos val="nextTo"/>
        <c:crossAx val="64909696"/>
        <c:crosses val="autoZero"/>
        <c:auto val="1"/>
        <c:lblAlgn val="ctr"/>
        <c:lblOffset val="100"/>
        <c:noMultiLvlLbl val="0"/>
      </c:catAx>
      <c:valAx>
        <c:axId val="64909696"/>
        <c:scaling>
          <c:orientation val="minMax"/>
        </c:scaling>
        <c:delete val="0"/>
        <c:axPos val="l"/>
        <c:majorGridlines/>
        <c:numFmt formatCode="0%" sourceLinked="1"/>
        <c:majorTickMark val="out"/>
        <c:minorTickMark val="none"/>
        <c:tickLblPos val="nextTo"/>
        <c:crossAx val="64899712"/>
        <c:crosses val="autoZero"/>
        <c:crossBetween val="between"/>
      </c:valAx>
      <c:serAx>
        <c:axId val="64832832"/>
        <c:scaling>
          <c:orientation val="minMax"/>
        </c:scaling>
        <c:delete val="0"/>
        <c:axPos val="b"/>
        <c:majorTickMark val="out"/>
        <c:minorTickMark val="none"/>
        <c:tickLblPos val="nextTo"/>
        <c:crossAx val="64909696"/>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5664</Words>
  <Characters>32288</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37877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BurnhamRe</dc:creator>
  <cp:lastModifiedBy>toliverk</cp:lastModifiedBy>
  <cp:revision>2</cp:revision>
  <cp:lastPrinted>2012-05-24T16:33:00Z</cp:lastPrinted>
  <dcterms:created xsi:type="dcterms:W3CDTF">2014-03-28T20:15:00Z</dcterms:created>
  <dcterms:modified xsi:type="dcterms:W3CDTF">2014-03-28T20:15:00Z</dcterms:modified>
</cp:coreProperties>
</file>