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9B" w:rsidRPr="00D930B3" w:rsidRDefault="00D930B3" w:rsidP="00D930B3">
      <w:pPr>
        <w:spacing w:after="0" w:line="240" w:lineRule="auto"/>
        <w:rPr>
          <w:rFonts w:ascii="Times New Roman" w:hAnsi="Times New Roman" w:cs="Times New Roman"/>
          <w:sz w:val="24"/>
          <w:szCs w:val="24"/>
        </w:rPr>
      </w:pPr>
      <w:bookmarkStart w:id="0" w:name="_GoBack"/>
      <w:bookmarkEnd w:id="0"/>
      <w:r w:rsidRPr="00D930B3">
        <w:rPr>
          <w:rFonts w:ascii="Times New Roman" w:hAnsi="Times New Roman" w:cs="Times New Roman"/>
          <w:sz w:val="24"/>
          <w:szCs w:val="24"/>
        </w:rPr>
        <w:t>School of Professional Studies Draft Report for the MSCHE Self Study</w:t>
      </w: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after="0" w:line="240" w:lineRule="auto"/>
        <w:rPr>
          <w:rFonts w:ascii="Times New Roman" w:hAnsi="Times New Roman" w:cs="Times New Roman"/>
          <w:sz w:val="24"/>
          <w:szCs w:val="24"/>
        </w:rPr>
      </w:pPr>
    </w:p>
    <w:p w:rsidR="00D930B3" w:rsidRPr="00D930B3" w:rsidRDefault="00D930B3" w:rsidP="00D930B3">
      <w:pPr>
        <w:spacing w:line="240" w:lineRule="auto"/>
        <w:rPr>
          <w:rFonts w:ascii="Times New Roman" w:hAnsi="Times New Roman" w:cs="Times New Roman"/>
          <w:b/>
          <w:sz w:val="24"/>
          <w:szCs w:val="24"/>
          <w:u w:val="single"/>
        </w:rPr>
      </w:pPr>
      <w:r w:rsidRPr="00D930B3">
        <w:rPr>
          <w:rFonts w:ascii="Times New Roman" w:hAnsi="Times New Roman" w:cs="Times New Roman"/>
          <w:b/>
          <w:sz w:val="24"/>
          <w:szCs w:val="24"/>
          <w:u w:val="single"/>
        </w:rPr>
        <w:t>I.</w:t>
      </w:r>
      <w:r w:rsidR="00243C23">
        <w:rPr>
          <w:rFonts w:ascii="Times New Roman" w:hAnsi="Times New Roman" w:cs="Times New Roman"/>
          <w:b/>
          <w:sz w:val="24"/>
          <w:szCs w:val="24"/>
          <w:u w:val="single"/>
        </w:rPr>
        <w:t xml:space="preserve"> Program Development</w:t>
      </w:r>
    </w:p>
    <w:p w:rsidR="00D930B3" w:rsidRPr="004F71AD" w:rsidRDefault="00D930B3" w:rsidP="00D930B3">
      <w:pPr>
        <w:rPr>
          <w:rFonts w:ascii="Times New Roman" w:hAnsi="Times New Roman" w:cs="Times New Roman"/>
          <w:b/>
          <w:sz w:val="24"/>
          <w:szCs w:val="24"/>
        </w:rPr>
      </w:pPr>
      <w:r w:rsidRPr="004F71AD">
        <w:rPr>
          <w:rFonts w:ascii="Times New Roman" w:hAnsi="Times New Roman" w:cs="Times New Roman"/>
          <w:b/>
          <w:sz w:val="24"/>
          <w:szCs w:val="24"/>
        </w:rPr>
        <w:t xml:space="preserve">A. Introduction: </w:t>
      </w:r>
      <w:r w:rsidR="00243C23">
        <w:rPr>
          <w:rFonts w:ascii="Times New Roman" w:hAnsi="Times New Roman" w:cs="Times New Roman"/>
          <w:b/>
          <w:sz w:val="24"/>
          <w:szCs w:val="24"/>
        </w:rPr>
        <w:t>Program Development</w:t>
      </w:r>
    </w:p>
    <w:p w:rsidR="00D930B3" w:rsidRDefault="00D930B3" w:rsidP="00D930B3">
      <w:pPr>
        <w:rPr>
          <w:rFonts w:ascii="Times New Roman" w:hAnsi="Times New Roman" w:cs="Times New Roman"/>
          <w:sz w:val="24"/>
          <w:szCs w:val="24"/>
        </w:rPr>
      </w:pPr>
      <w:r w:rsidRPr="00D930B3">
        <w:rPr>
          <w:rFonts w:ascii="Times New Roman" w:hAnsi="Times New Roman" w:cs="Times New Roman"/>
          <w:sz w:val="24"/>
          <w:szCs w:val="24"/>
        </w:rPr>
        <w:t xml:space="preserve">Trinity has a </w:t>
      </w:r>
      <w:r w:rsidR="00243C23">
        <w:rPr>
          <w:rFonts w:ascii="Times New Roman" w:hAnsi="Times New Roman" w:cs="Times New Roman"/>
          <w:sz w:val="24"/>
          <w:szCs w:val="24"/>
        </w:rPr>
        <w:t xml:space="preserve">long history of providing market- relevant academic programs through its School </w:t>
      </w:r>
      <w:r w:rsidR="0076269E">
        <w:rPr>
          <w:rFonts w:ascii="Times New Roman" w:hAnsi="Times New Roman" w:cs="Times New Roman"/>
          <w:sz w:val="24"/>
          <w:szCs w:val="24"/>
        </w:rPr>
        <w:t>of</w:t>
      </w:r>
      <w:r w:rsidR="00243C23">
        <w:rPr>
          <w:rFonts w:ascii="Times New Roman" w:hAnsi="Times New Roman" w:cs="Times New Roman"/>
          <w:sz w:val="24"/>
          <w:szCs w:val="24"/>
        </w:rPr>
        <w:t xml:space="preserve"> Professional Studies (formerly the Weekend College)</w:t>
      </w:r>
      <w:r w:rsidRPr="00D930B3">
        <w:rPr>
          <w:rFonts w:ascii="Times New Roman" w:hAnsi="Times New Roman" w:cs="Times New Roman"/>
          <w:sz w:val="24"/>
          <w:szCs w:val="24"/>
        </w:rPr>
        <w:t xml:space="preserve">. </w:t>
      </w:r>
      <w:r w:rsidR="00243C23">
        <w:rPr>
          <w:rFonts w:ascii="Times New Roman" w:hAnsi="Times New Roman" w:cs="Times New Roman"/>
          <w:sz w:val="24"/>
          <w:szCs w:val="24"/>
        </w:rPr>
        <w:t xml:space="preserve">Over recent years, the School of Professional Studies (SPS) has </w:t>
      </w:r>
      <w:r w:rsidR="00155E94">
        <w:rPr>
          <w:rFonts w:ascii="Times New Roman" w:hAnsi="Times New Roman" w:cs="Times New Roman"/>
          <w:sz w:val="24"/>
          <w:szCs w:val="24"/>
        </w:rPr>
        <w:t>developed</w:t>
      </w:r>
      <w:r w:rsidR="0076269E">
        <w:rPr>
          <w:rFonts w:ascii="Times New Roman" w:hAnsi="Times New Roman" w:cs="Times New Roman"/>
          <w:sz w:val="24"/>
          <w:szCs w:val="24"/>
        </w:rPr>
        <w:t xml:space="preserve"> the School of Nursing and Health Professions and the School of Business and Graduate Programs. Middle States Standard 11 expects an</w:t>
      </w:r>
      <w:r w:rsidRPr="00D930B3">
        <w:rPr>
          <w:rFonts w:ascii="Times New Roman" w:hAnsi="Times New Roman" w:cs="Times New Roman"/>
          <w:sz w:val="24"/>
          <w:szCs w:val="24"/>
        </w:rPr>
        <w:t xml:space="preserve"> institution to have </w:t>
      </w:r>
      <w:r w:rsidR="0076269E">
        <w:rPr>
          <w:rFonts w:ascii="Times New Roman" w:hAnsi="Times New Roman" w:cs="Times New Roman"/>
          <w:sz w:val="24"/>
          <w:szCs w:val="24"/>
        </w:rPr>
        <w:t>quality programs that display academic sufficient content, rigor, and coherence with the mission of the institution</w:t>
      </w:r>
      <w:r w:rsidRPr="00D930B3">
        <w:rPr>
          <w:rFonts w:ascii="Times New Roman" w:hAnsi="Times New Roman" w:cs="Times New Roman"/>
          <w:sz w:val="24"/>
          <w:szCs w:val="24"/>
        </w:rPr>
        <w:t xml:space="preserve">. Through the self-study process, </w:t>
      </w:r>
      <w:r>
        <w:rPr>
          <w:rFonts w:ascii="Times New Roman" w:hAnsi="Times New Roman" w:cs="Times New Roman"/>
          <w:sz w:val="24"/>
          <w:szCs w:val="24"/>
        </w:rPr>
        <w:t>the Schoo</w:t>
      </w:r>
      <w:r w:rsidR="004F71AD">
        <w:rPr>
          <w:rFonts w:ascii="Times New Roman" w:hAnsi="Times New Roman" w:cs="Times New Roman"/>
          <w:sz w:val="24"/>
          <w:szCs w:val="24"/>
        </w:rPr>
        <w:t>l of Professional Studies (SPS)</w:t>
      </w:r>
      <w:r w:rsidRPr="00D930B3">
        <w:rPr>
          <w:rFonts w:ascii="Times New Roman" w:hAnsi="Times New Roman" w:cs="Times New Roman"/>
          <w:sz w:val="24"/>
          <w:szCs w:val="24"/>
        </w:rPr>
        <w:t xml:space="preserve"> analyzed </w:t>
      </w:r>
      <w:r w:rsidR="0076269E">
        <w:rPr>
          <w:rFonts w:ascii="Times New Roman" w:hAnsi="Times New Roman" w:cs="Times New Roman"/>
          <w:sz w:val="24"/>
          <w:szCs w:val="24"/>
        </w:rPr>
        <w:t>its acad</w:t>
      </w:r>
      <w:r w:rsidR="000D532A">
        <w:rPr>
          <w:rFonts w:ascii="Times New Roman" w:hAnsi="Times New Roman" w:cs="Times New Roman"/>
          <w:sz w:val="24"/>
          <w:szCs w:val="24"/>
        </w:rPr>
        <w:t xml:space="preserve">emic offerings and </w:t>
      </w:r>
      <w:r w:rsidR="00155E94">
        <w:rPr>
          <w:rFonts w:ascii="Times New Roman" w:hAnsi="Times New Roman" w:cs="Times New Roman"/>
          <w:sz w:val="24"/>
          <w:szCs w:val="24"/>
        </w:rPr>
        <w:t xml:space="preserve">made critical decisions about existing programs, while working to develop </w:t>
      </w:r>
      <w:r w:rsidR="0076269E">
        <w:rPr>
          <w:rFonts w:ascii="Times New Roman" w:hAnsi="Times New Roman" w:cs="Times New Roman"/>
          <w:sz w:val="24"/>
          <w:szCs w:val="24"/>
        </w:rPr>
        <w:t xml:space="preserve">new programs </w:t>
      </w:r>
      <w:r w:rsidR="00155E94">
        <w:rPr>
          <w:rFonts w:ascii="Times New Roman" w:hAnsi="Times New Roman" w:cs="Times New Roman"/>
          <w:sz w:val="24"/>
          <w:szCs w:val="24"/>
        </w:rPr>
        <w:t>for</w:t>
      </w:r>
      <w:r>
        <w:rPr>
          <w:rFonts w:ascii="Times New Roman" w:hAnsi="Times New Roman" w:cs="Times New Roman"/>
          <w:sz w:val="24"/>
          <w:szCs w:val="24"/>
        </w:rPr>
        <w:t xml:space="preserve"> working students at the undergraduate level. </w:t>
      </w:r>
      <w:r w:rsidR="000D532A">
        <w:rPr>
          <w:rFonts w:ascii="Times New Roman" w:hAnsi="Times New Roman" w:cs="Times New Roman"/>
          <w:sz w:val="24"/>
          <w:szCs w:val="24"/>
        </w:rPr>
        <w:t xml:space="preserve">Some of the programs are the result of critical partnerships with the School of Education and the School of Nursing and Health Professions. </w:t>
      </w:r>
      <w:r w:rsidR="0076269E">
        <w:rPr>
          <w:rFonts w:ascii="Times New Roman" w:hAnsi="Times New Roman" w:cs="Times New Roman"/>
          <w:sz w:val="24"/>
          <w:szCs w:val="24"/>
        </w:rPr>
        <w:t>These new programs are market- relevant, mission driven, and have clearly defined academic standards and outcomes. They meet the needs of the community of learners that Trinity serves and will drive enrollment growth</w:t>
      </w:r>
      <w:r w:rsidR="00155E94">
        <w:rPr>
          <w:rFonts w:ascii="Times New Roman" w:hAnsi="Times New Roman" w:cs="Times New Roman"/>
          <w:sz w:val="24"/>
          <w:szCs w:val="24"/>
        </w:rPr>
        <w:t>.</w:t>
      </w:r>
    </w:p>
    <w:p w:rsidR="004F71AD" w:rsidRPr="004F71AD" w:rsidRDefault="004F71AD" w:rsidP="00D930B3">
      <w:pPr>
        <w:rPr>
          <w:rFonts w:ascii="Times New Roman" w:hAnsi="Times New Roman" w:cs="Times New Roman"/>
          <w:b/>
          <w:sz w:val="24"/>
          <w:szCs w:val="24"/>
        </w:rPr>
      </w:pPr>
      <w:r w:rsidRPr="004F71AD">
        <w:rPr>
          <w:rFonts w:ascii="Times New Roman" w:hAnsi="Times New Roman" w:cs="Times New Roman"/>
          <w:b/>
          <w:sz w:val="24"/>
          <w:szCs w:val="24"/>
        </w:rPr>
        <w:t>B. Data Snapshots and Discussion</w:t>
      </w:r>
    </w:p>
    <w:p w:rsidR="00D930B3" w:rsidRDefault="00973179" w:rsidP="00973179">
      <w:pPr>
        <w:ind w:firstLine="720"/>
        <w:rPr>
          <w:rFonts w:ascii="Times New Roman" w:hAnsi="Times New Roman" w:cs="Times New Roman"/>
          <w:sz w:val="24"/>
          <w:szCs w:val="24"/>
        </w:rPr>
      </w:pPr>
      <w:r>
        <w:rPr>
          <w:rFonts w:ascii="Times New Roman" w:hAnsi="Times New Roman" w:cs="Times New Roman"/>
          <w:sz w:val="24"/>
          <w:szCs w:val="24"/>
        </w:rPr>
        <w:t xml:space="preserve">1. </w:t>
      </w:r>
      <w:r w:rsidR="0076269E">
        <w:rPr>
          <w:rFonts w:ascii="Times New Roman" w:hAnsi="Times New Roman" w:cs="Times New Roman"/>
          <w:sz w:val="24"/>
          <w:szCs w:val="24"/>
        </w:rPr>
        <w:t>Tr</w:t>
      </w:r>
      <w:r w:rsidR="000D532A">
        <w:rPr>
          <w:rFonts w:ascii="Times New Roman" w:hAnsi="Times New Roman" w:cs="Times New Roman"/>
          <w:sz w:val="24"/>
          <w:szCs w:val="24"/>
        </w:rPr>
        <w:t xml:space="preserve">ends of Enrollment for </w:t>
      </w:r>
      <w:r w:rsidR="00155E94">
        <w:rPr>
          <w:rFonts w:ascii="Times New Roman" w:hAnsi="Times New Roman" w:cs="Times New Roman"/>
          <w:sz w:val="24"/>
          <w:szCs w:val="24"/>
        </w:rPr>
        <w:t>U</w:t>
      </w:r>
      <w:r w:rsidR="000D532A">
        <w:rPr>
          <w:rFonts w:ascii="Times New Roman" w:hAnsi="Times New Roman" w:cs="Times New Roman"/>
          <w:sz w:val="24"/>
          <w:szCs w:val="24"/>
        </w:rPr>
        <w:t xml:space="preserve">ndergraduate </w:t>
      </w:r>
      <w:r w:rsidR="00155E94">
        <w:rPr>
          <w:rFonts w:ascii="Times New Roman" w:hAnsi="Times New Roman" w:cs="Times New Roman"/>
          <w:sz w:val="24"/>
          <w:szCs w:val="24"/>
        </w:rPr>
        <w:t>A</w:t>
      </w:r>
      <w:r w:rsidR="000D532A">
        <w:rPr>
          <w:rFonts w:ascii="Times New Roman" w:hAnsi="Times New Roman" w:cs="Times New Roman"/>
          <w:sz w:val="24"/>
          <w:szCs w:val="24"/>
        </w:rPr>
        <w:t xml:space="preserve">cademic </w:t>
      </w:r>
      <w:r w:rsidR="00155E94">
        <w:rPr>
          <w:rFonts w:ascii="Times New Roman" w:hAnsi="Times New Roman" w:cs="Times New Roman"/>
          <w:sz w:val="24"/>
          <w:szCs w:val="24"/>
        </w:rPr>
        <w:t>P</w:t>
      </w:r>
      <w:r w:rsidR="0076269E">
        <w:rPr>
          <w:rFonts w:ascii="Times New Roman" w:hAnsi="Times New Roman" w:cs="Times New Roman"/>
          <w:sz w:val="24"/>
          <w:szCs w:val="24"/>
        </w:rPr>
        <w:t>rograms</w:t>
      </w:r>
      <w:r w:rsidR="000D532A">
        <w:rPr>
          <w:rFonts w:ascii="Times New Roman" w:hAnsi="Times New Roman" w:cs="Times New Roman"/>
          <w:sz w:val="24"/>
          <w:szCs w:val="24"/>
        </w:rPr>
        <w:t xml:space="preserve"> (Fall 2007 to </w:t>
      </w:r>
      <w:proofErr w:type="gramStart"/>
      <w:r w:rsidR="000D532A">
        <w:rPr>
          <w:rFonts w:ascii="Times New Roman" w:hAnsi="Times New Roman" w:cs="Times New Roman"/>
          <w:sz w:val="24"/>
          <w:szCs w:val="24"/>
        </w:rPr>
        <w:t>Fall</w:t>
      </w:r>
      <w:proofErr w:type="gramEnd"/>
      <w:r w:rsidR="000D532A">
        <w:rPr>
          <w:rFonts w:ascii="Times New Roman" w:hAnsi="Times New Roman" w:cs="Times New Roman"/>
          <w:sz w:val="24"/>
          <w:szCs w:val="24"/>
        </w:rPr>
        <w:t xml:space="preserve"> 2014)</w:t>
      </w:r>
      <w:r w:rsidR="000D532A">
        <w:rPr>
          <w:noProof/>
        </w:rPr>
        <w:drawing>
          <wp:inline distT="0" distB="0" distL="0" distR="0" wp14:anchorId="387B6C6B" wp14:editId="71FB0B00">
            <wp:extent cx="5749747" cy="3313785"/>
            <wp:effectExtent l="0" t="0" r="2286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71AD" w:rsidRPr="00D930B3" w:rsidRDefault="004F71AD" w:rsidP="00D930B3">
      <w:pPr>
        <w:rPr>
          <w:rFonts w:ascii="Times New Roman" w:hAnsi="Times New Roman" w:cs="Times New Roman"/>
          <w:sz w:val="24"/>
          <w:szCs w:val="24"/>
        </w:rPr>
      </w:pPr>
    </w:p>
    <w:p w:rsidR="000D532A" w:rsidRDefault="000D532A" w:rsidP="00D930B3">
      <w:pPr>
        <w:rPr>
          <w:rFonts w:ascii="Times New Roman" w:hAnsi="Times New Roman" w:cs="Times New Roman"/>
          <w:sz w:val="24"/>
          <w:szCs w:val="24"/>
        </w:rPr>
      </w:pPr>
    </w:p>
    <w:p w:rsidR="000D532A" w:rsidRDefault="000D532A" w:rsidP="00D930B3">
      <w:pPr>
        <w:rPr>
          <w:rFonts w:ascii="Times New Roman" w:hAnsi="Times New Roman" w:cs="Times New Roman"/>
          <w:sz w:val="24"/>
          <w:szCs w:val="24"/>
        </w:rPr>
      </w:pPr>
    </w:p>
    <w:p w:rsidR="00D930B3" w:rsidRDefault="00973179" w:rsidP="00D930B3">
      <w:pPr>
        <w:rPr>
          <w:rFonts w:ascii="Times New Roman" w:hAnsi="Times New Roman" w:cs="Times New Roman"/>
          <w:sz w:val="24"/>
          <w:szCs w:val="24"/>
        </w:rPr>
      </w:pPr>
      <w:r>
        <w:rPr>
          <w:rFonts w:ascii="Times New Roman" w:hAnsi="Times New Roman" w:cs="Times New Roman"/>
          <w:sz w:val="24"/>
          <w:szCs w:val="24"/>
        </w:rPr>
        <w:t xml:space="preserve">This chart </w:t>
      </w:r>
      <w:r w:rsidR="000D532A">
        <w:rPr>
          <w:rFonts w:ascii="Times New Roman" w:hAnsi="Times New Roman" w:cs="Times New Roman"/>
          <w:sz w:val="24"/>
          <w:szCs w:val="24"/>
        </w:rPr>
        <w:t>shows the enrollment trends for the past seven years in the traditional programs in the School of Professional Studies</w:t>
      </w:r>
      <w:r w:rsidR="00155E94">
        <w:rPr>
          <w:rFonts w:ascii="Times New Roman" w:hAnsi="Times New Roman" w:cs="Times New Roman"/>
          <w:sz w:val="24"/>
          <w:szCs w:val="24"/>
        </w:rPr>
        <w:t xml:space="preserve">. Due to challenges with the passage rates for </w:t>
      </w:r>
      <w:r w:rsidR="009D105C">
        <w:rPr>
          <w:rFonts w:ascii="Times New Roman" w:hAnsi="Times New Roman" w:cs="Times New Roman"/>
          <w:sz w:val="24"/>
          <w:szCs w:val="24"/>
        </w:rPr>
        <w:t xml:space="preserve">part- time </w:t>
      </w:r>
      <w:r w:rsidR="00155E94">
        <w:rPr>
          <w:rFonts w:ascii="Times New Roman" w:hAnsi="Times New Roman" w:cs="Times New Roman"/>
          <w:sz w:val="24"/>
          <w:szCs w:val="24"/>
        </w:rPr>
        <w:t xml:space="preserve">adult transfer students on the NCLEX, the test for Registered Nurses, the School of Professional Studies discontinued new enrollment in the Pre-Nursing (PNURS) program in 2013. This caused the sharp decline in enrollment in that major as noted above. </w:t>
      </w:r>
      <w:r w:rsidR="00312CEF">
        <w:rPr>
          <w:rFonts w:ascii="Times New Roman" w:hAnsi="Times New Roman" w:cs="Times New Roman"/>
          <w:sz w:val="24"/>
          <w:szCs w:val="24"/>
        </w:rPr>
        <w:t>There is also some decline in the Business Administration and Human Relations degrees which indicate a need for a deeper market presence and the further cultivation of these degrees into powerhouses for the university.</w:t>
      </w:r>
    </w:p>
    <w:p w:rsidR="00973179" w:rsidRDefault="00973179" w:rsidP="00973179">
      <w:pPr>
        <w:ind w:firstLine="720"/>
        <w:rPr>
          <w:rFonts w:ascii="Times New Roman" w:hAnsi="Times New Roman" w:cs="Times New Roman"/>
          <w:sz w:val="24"/>
          <w:szCs w:val="24"/>
        </w:rPr>
      </w:pPr>
      <w:r>
        <w:rPr>
          <w:rFonts w:ascii="Times New Roman" w:hAnsi="Times New Roman" w:cs="Times New Roman"/>
          <w:sz w:val="24"/>
          <w:szCs w:val="24"/>
        </w:rPr>
        <w:t xml:space="preserve">2. </w:t>
      </w:r>
      <w:r w:rsidR="000D532A">
        <w:rPr>
          <w:rFonts w:ascii="Times New Roman" w:hAnsi="Times New Roman" w:cs="Times New Roman"/>
          <w:sz w:val="24"/>
          <w:szCs w:val="24"/>
        </w:rPr>
        <w:t>New Program (Since Fall 2013) Undergraduate Enrollment in SPS</w:t>
      </w:r>
    </w:p>
    <w:p w:rsidR="00C6480A" w:rsidRDefault="000D532A" w:rsidP="00D930B3">
      <w:pPr>
        <w:rPr>
          <w:rFonts w:ascii="Times New Roman" w:hAnsi="Times New Roman" w:cs="Times New Roman"/>
          <w:sz w:val="24"/>
          <w:szCs w:val="24"/>
        </w:rPr>
      </w:pPr>
      <w:r>
        <w:rPr>
          <w:noProof/>
        </w:rPr>
        <w:drawing>
          <wp:inline distT="0" distB="0" distL="0" distR="0" wp14:anchorId="1C6A356A" wp14:editId="76DB2BD8">
            <wp:extent cx="5686425" cy="3405188"/>
            <wp:effectExtent l="0" t="0" r="9525"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5E94" w:rsidRDefault="00155E94" w:rsidP="00155E94">
      <w:pPr>
        <w:rPr>
          <w:rFonts w:ascii="Times New Roman" w:hAnsi="Times New Roman" w:cs="Times New Roman"/>
          <w:sz w:val="24"/>
          <w:szCs w:val="24"/>
        </w:rPr>
      </w:pPr>
      <w:r>
        <w:rPr>
          <w:rFonts w:ascii="Times New Roman" w:hAnsi="Times New Roman" w:cs="Times New Roman"/>
          <w:sz w:val="24"/>
          <w:szCs w:val="24"/>
        </w:rPr>
        <w:t>New programs were carefully developed with academic partners and in review of market trends and industry growth. The needs of the target population of urban adult minority learners were also taken into consideration in the development of new programs, and they are aligned to industry standards (i.e. SHRM) or certifications (i.e. the CPA license).</w:t>
      </w:r>
    </w:p>
    <w:p w:rsidR="00C6480A" w:rsidRDefault="00C6480A" w:rsidP="0037737E">
      <w:pPr>
        <w:rPr>
          <w:rFonts w:ascii="Times New Roman" w:hAnsi="Times New Roman" w:cs="Times New Roman"/>
          <w:b/>
          <w:sz w:val="24"/>
          <w:szCs w:val="24"/>
        </w:rPr>
      </w:pPr>
      <w:r w:rsidRPr="00C6480A">
        <w:rPr>
          <w:rFonts w:ascii="Times New Roman" w:hAnsi="Times New Roman" w:cs="Times New Roman"/>
          <w:b/>
          <w:sz w:val="24"/>
          <w:szCs w:val="24"/>
        </w:rPr>
        <w:t>C. Findings and Action Steps</w:t>
      </w:r>
    </w:p>
    <w:p w:rsidR="00C6480A" w:rsidRDefault="0037737E" w:rsidP="00D930B3">
      <w:pPr>
        <w:rPr>
          <w:rFonts w:ascii="Times New Roman" w:hAnsi="Times New Roman" w:cs="Times New Roman"/>
          <w:sz w:val="24"/>
          <w:szCs w:val="24"/>
        </w:rPr>
      </w:pPr>
      <w:r>
        <w:rPr>
          <w:rFonts w:ascii="Times New Roman" w:hAnsi="Times New Roman" w:cs="Times New Roman"/>
          <w:sz w:val="24"/>
          <w:szCs w:val="24"/>
        </w:rPr>
        <w:t>Key Findings:</w:t>
      </w:r>
    </w:p>
    <w:p w:rsidR="00DC5832" w:rsidRDefault="00155E94"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needed to discontinue its Pre- Nursing Program due to challenges with the passage rates for the NCLEX</w:t>
      </w:r>
    </w:p>
    <w:p w:rsidR="00155E94" w:rsidRDefault="00155E94"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SPS needed to develop new programs to offset the loss of the Pre- Nursing Program, and those programs needed to be market- relevant and targeted to the working student population</w:t>
      </w:r>
    </w:p>
    <w:p w:rsidR="0037737E" w:rsidRDefault="00312CEF" w:rsidP="0037737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Business Administration degree needed revitalization to regain market share</w:t>
      </w:r>
    </w:p>
    <w:p w:rsidR="00312CEF" w:rsidRDefault="00312CEF" w:rsidP="00DC5832">
      <w:pPr>
        <w:pStyle w:val="ListParagraph"/>
        <w:numPr>
          <w:ilvl w:val="0"/>
          <w:numId w:val="9"/>
        </w:numPr>
        <w:rPr>
          <w:rFonts w:ascii="Times New Roman" w:hAnsi="Times New Roman" w:cs="Times New Roman"/>
          <w:sz w:val="24"/>
          <w:szCs w:val="24"/>
        </w:rPr>
      </w:pPr>
      <w:r w:rsidRPr="00312CEF">
        <w:rPr>
          <w:rFonts w:ascii="Times New Roman" w:hAnsi="Times New Roman" w:cs="Times New Roman"/>
          <w:sz w:val="24"/>
          <w:szCs w:val="24"/>
        </w:rPr>
        <w:t>The Human Relations program is losing market share and needed further revitalization</w:t>
      </w:r>
    </w:p>
    <w:p w:rsidR="00DC5832" w:rsidRPr="00312CEF" w:rsidRDefault="00DC5832" w:rsidP="00312CEF">
      <w:pPr>
        <w:rPr>
          <w:rFonts w:ascii="Times New Roman" w:hAnsi="Times New Roman" w:cs="Times New Roman"/>
          <w:sz w:val="24"/>
          <w:szCs w:val="24"/>
        </w:rPr>
      </w:pPr>
      <w:r w:rsidRPr="00312CEF">
        <w:rPr>
          <w:rFonts w:ascii="Times New Roman" w:hAnsi="Times New Roman" w:cs="Times New Roman"/>
          <w:sz w:val="24"/>
          <w:szCs w:val="24"/>
        </w:rPr>
        <w:t>Action Steps:</w:t>
      </w:r>
    </w:p>
    <w:p w:rsidR="00DC5832" w:rsidRDefault="00DC5832" w:rsidP="00DC5832">
      <w:pPr>
        <w:pStyle w:val="ListParagraph"/>
        <w:numPr>
          <w:ilvl w:val="0"/>
          <w:numId w:val="9"/>
        </w:numPr>
        <w:rPr>
          <w:rFonts w:ascii="Times New Roman" w:hAnsi="Times New Roman" w:cs="Times New Roman"/>
          <w:sz w:val="24"/>
          <w:szCs w:val="24"/>
        </w:rPr>
      </w:pPr>
      <w:r w:rsidRPr="00DC5832">
        <w:rPr>
          <w:rFonts w:ascii="Times New Roman" w:hAnsi="Times New Roman" w:cs="Times New Roman"/>
          <w:sz w:val="24"/>
          <w:szCs w:val="24"/>
        </w:rPr>
        <w:t xml:space="preserve">SPS </w:t>
      </w:r>
      <w:r w:rsidR="00312CEF">
        <w:rPr>
          <w:rFonts w:ascii="Times New Roman" w:hAnsi="Times New Roman" w:cs="Times New Roman"/>
          <w:sz w:val="24"/>
          <w:szCs w:val="24"/>
        </w:rPr>
        <w:t>collaborated with the School of Nursing and Health Professions (NHP) to deliver the Health Science degree with tracks in Health &amp; Wellness, Pre- Occupational Therapy and Pre- Physical Therapy</w:t>
      </w:r>
    </w:p>
    <w:p w:rsidR="00312CEF" w:rsidRDefault="00312CEF" w:rsidP="00DC583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also delivers the pre-requisite courses for the NHP Occupational Therapy Assistant degree; this is the POTA program.</w:t>
      </w:r>
    </w:p>
    <w:p w:rsidR="00312CEF" w:rsidRDefault="00DC5832" w:rsidP="00312CE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SPS </w:t>
      </w:r>
      <w:r w:rsidR="00312CEF">
        <w:rPr>
          <w:rFonts w:ascii="Times New Roman" w:hAnsi="Times New Roman" w:cs="Times New Roman"/>
          <w:sz w:val="24"/>
          <w:szCs w:val="24"/>
        </w:rPr>
        <w:t>revitalized its Human Relations program was revised to offer tracks in pre- counseling and pre- social work and realigned with the CAS program for consistency</w:t>
      </w:r>
    </w:p>
    <w:p w:rsidR="00312CEF" w:rsidRDefault="00312CEF" w:rsidP="00312CE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developed degrees in Accounting, Human Resource Management, and Hospitality Management that align with top twenty industries in the District of Columbia</w:t>
      </w:r>
    </w:p>
    <w:p w:rsidR="00C6480A" w:rsidRDefault="00312CEF" w:rsidP="00312CE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SPS collaborated with the School of Education (EDU) to capitalize on new regulations in the District of Columbia requiring childcare workers to obtain an Associate’s degree with the development of the AA and BA degrees in Early Childhood Education</w:t>
      </w:r>
    </w:p>
    <w:p w:rsidR="00C6480A" w:rsidRDefault="00C6480A" w:rsidP="00312CEF">
      <w:pPr>
        <w:rPr>
          <w:rFonts w:ascii="Times New Roman" w:hAnsi="Times New Roman" w:cs="Times New Roman"/>
          <w:b/>
          <w:sz w:val="24"/>
          <w:szCs w:val="24"/>
        </w:rPr>
      </w:pPr>
      <w:r w:rsidRPr="00C6480A">
        <w:rPr>
          <w:rFonts w:ascii="Times New Roman" w:hAnsi="Times New Roman" w:cs="Times New Roman"/>
          <w:b/>
          <w:sz w:val="24"/>
          <w:szCs w:val="24"/>
        </w:rPr>
        <w:t>D. Recommendations</w:t>
      </w:r>
    </w:p>
    <w:p w:rsidR="00C6480A" w:rsidRPr="00C6480A" w:rsidRDefault="00C6480A" w:rsidP="00312CEF">
      <w:pPr>
        <w:rPr>
          <w:rFonts w:ascii="Times New Roman" w:hAnsi="Times New Roman" w:cs="Times New Roman"/>
          <w:sz w:val="24"/>
          <w:szCs w:val="24"/>
        </w:rPr>
      </w:pPr>
      <w:r w:rsidRPr="00C6480A">
        <w:rPr>
          <w:rFonts w:ascii="Times New Roman" w:hAnsi="Times New Roman" w:cs="Times New Roman"/>
          <w:sz w:val="24"/>
          <w:szCs w:val="24"/>
        </w:rPr>
        <w:t>The School of Professional Studies does not have any recommendations at this time.</w:t>
      </w:r>
    </w:p>
    <w:sectPr w:rsidR="00C6480A" w:rsidRPr="00C64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5C3F"/>
    <w:multiLevelType w:val="hybridMultilevel"/>
    <w:tmpl w:val="53C62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0ED0"/>
    <w:multiLevelType w:val="hybridMultilevel"/>
    <w:tmpl w:val="315E2C5E"/>
    <w:lvl w:ilvl="0" w:tplc="F0B61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B1FD4"/>
    <w:multiLevelType w:val="hybridMultilevel"/>
    <w:tmpl w:val="5DFE3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D00282"/>
    <w:multiLevelType w:val="hybridMultilevel"/>
    <w:tmpl w:val="EDFA523C"/>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8089C"/>
    <w:multiLevelType w:val="hybridMultilevel"/>
    <w:tmpl w:val="BB403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AA3536"/>
    <w:multiLevelType w:val="hybridMultilevel"/>
    <w:tmpl w:val="6DB8AFE4"/>
    <w:lvl w:ilvl="0" w:tplc="30CC48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3A223F"/>
    <w:multiLevelType w:val="hybridMultilevel"/>
    <w:tmpl w:val="1C2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40E9F"/>
    <w:multiLevelType w:val="hybridMultilevel"/>
    <w:tmpl w:val="17DCC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7250FEF"/>
    <w:multiLevelType w:val="hybridMultilevel"/>
    <w:tmpl w:val="9224FDDA"/>
    <w:lvl w:ilvl="0" w:tplc="2F346DD4">
      <w:start w:val="1"/>
      <w:numFmt w:val="upp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5"/>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3"/>
    <w:rsid w:val="000D532A"/>
    <w:rsid w:val="00115231"/>
    <w:rsid w:val="00155E94"/>
    <w:rsid w:val="00156AFA"/>
    <w:rsid w:val="00243C23"/>
    <w:rsid w:val="00312CEF"/>
    <w:rsid w:val="0037737E"/>
    <w:rsid w:val="004F71AD"/>
    <w:rsid w:val="00665037"/>
    <w:rsid w:val="0076269E"/>
    <w:rsid w:val="008C38F4"/>
    <w:rsid w:val="00973179"/>
    <w:rsid w:val="009D105C"/>
    <w:rsid w:val="00C6480A"/>
    <w:rsid w:val="00D930B3"/>
    <w:rsid w:val="00DC5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0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0B3"/>
    <w:pPr>
      <w:ind w:left="720"/>
      <w:contextualSpacing/>
    </w:pPr>
  </w:style>
  <w:style w:type="character" w:customStyle="1" w:styleId="Heading1Char">
    <w:name w:val="Heading 1 Char"/>
    <w:basedOn w:val="DefaultParagraphFont"/>
    <w:link w:val="Heading1"/>
    <w:uiPriority w:val="9"/>
    <w:rsid w:val="00D930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30B3"/>
    <w:pPr>
      <w:spacing w:after="0" w:line="240" w:lineRule="auto"/>
    </w:pPr>
  </w:style>
  <w:style w:type="paragraph" w:styleId="BalloonText">
    <w:name w:val="Balloon Text"/>
    <w:basedOn w:val="Normal"/>
    <w:link w:val="BalloonTextChar"/>
    <w:uiPriority w:val="99"/>
    <w:semiHidden/>
    <w:unhideWhenUsed/>
    <w:rsid w:val="004F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1AD"/>
    <w:rPr>
      <w:rFonts w:ascii="Tahoma" w:hAnsi="Tahoma" w:cs="Tahoma"/>
      <w:sz w:val="16"/>
      <w:szCs w:val="16"/>
    </w:rPr>
  </w:style>
  <w:style w:type="paragraph" w:styleId="Caption">
    <w:name w:val="caption"/>
    <w:basedOn w:val="Normal"/>
    <w:next w:val="Normal"/>
    <w:uiPriority w:val="35"/>
    <w:unhideWhenUsed/>
    <w:qFormat/>
    <w:rsid w:val="00156AF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trinity-its\data\home\BrooksTe\Enrollment%20Data\Majors%20Data%20Report%209%2015%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Sheet1!$B$3:$D$3</c:f>
              <c:strCache>
                <c:ptCount val="1"/>
                <c:pt idx="0">
                  <c:v>GENSTU General Studies AA</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Sheet1!$E$3:$S$3</c:f>
              <c:numCache>
                <c:formatCode>General</c:formatCode>
                <c:ptCount val="15"/>
                <c:pt idx="0">
                  <c:v>51</c:v>
                </c:pt>
                <c:pt idx="1">
                  <c:v>59</c:v>
                </c:pt>
                <c:pt idx="2">
                  <c:v>61</c:v>
                </c:pt>
                <c:pt idx="3">
                  <c:v>57</c:v>
                </c:pt>
                <c:pt idx="4">
                  <c:v>66</c:v>
                </c:pt>
                <c:pt idx="5">
                  <c:v>84</c:v>
                </c:pt>
                <c:pt idx="6">
                  <c:v>73</c:v>
                </c:pt>
                <c:pt idx="7">
                  <c:v>65</c:v>
                </c:pt>
                <c:pt idx="8">
                  <c:v>75</c:v>
                </c:pt>
                <c:pt idx="9">
                  <c:v>78</c:v>
                </c:pt>
                <c:pt idx="10">
                  <c:v>85</c:v>
                </c:pt>
                <c:pt idx="11">
                  <c:v>80</c:v>
                </c:pt>
                <c:pt idx="12">
                  <c:v>84</c:v>
                </c:pt>
                <c:pt idx="13">
                  <c:v>78</c:v>
                </c:pt>
                <c:pt idx="14">
                  <c:v>85</c:v>
                </c:pt>
              </c:numCache>
            </c:numRef>
          </c:val>
          <c:smooth val="0"/>
        </c:ser>
        <c:ser>
          <c:idx val="1"/>
          <c:order val="1"/>
          <c:tx>
            <c:strRef>
              <c:f>Sheet1!$B$4:$D$4</c:f>
              <c:strCache>
                <c:ptCount val="1"/>
                <c:pt idx="0">
                  <c:v>COMM Communication  BA</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Sheet1!$E$4:$S$4</c:f>
              <c:numCache>
                <c:formatCode>General</c:formatCode>
                <c:ptCount val="15"/>
                <c:pt idx="0">
                  <c:v>26</c:v>
                </c:pt>
                <c:pt idx="1">
                  <c:v>21</c:v>
                </c:pt>
                <c:pt idx="2">
                  <c:v>19</c:v>
                </c:pt>
                <c:pt idx="3">
                  <c:v>15</c:v>
                </c:pt>
                <c:pt idx="4">
                  <c:v>23</c:v>
                </c:pt>
                <c:pt idx="5">
                  <c:v>23</c:v>
                </c:pt>
                <c:pt idx="6">
                  <c:v>22</c:v>
                </c:pt>
                <c:pt idx="7">
                  <c:v>22</c:v>
                </c:pt>
                <c:pt idx="8">
                  <c:v>21</c:v>
                </c:pt>
                <c:pt idx="9">
                  <c:v>23</c:v>
                </c:pt>
                <c:pt idx="10">
                  <c:v>38</c:v>
                </c:pt>
                <c:pt idx="11">
                  <c:v>31</c:v>
                </c:pt>
                <c:pt idx="12">
                  <c:v>40</c:v>
                </c:pt>
                <c:pt idx="13">
                  <c:v>42</c:v>
                </c:pt>
                <c:pt idx="14">
                  <c:v>31</c:v>
                </c:pt>
              </c:numCache>
            </c:numRef>
          </c:val>
          <c:smooth val="0"/>
        </c:ser>
        <c:ser>
          <c:idx val="2"/>
          <c:order val="2"/>
          <c:tx>
            <c:strRef>
              <c:f>Sheet1!$B$5:$D$5</c:f>
              <c:strCache>
                <c:ptCount val="1"/>
                <c:pt idx="0">
                  <c:v>GENSTU General Studies  BA</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Sheet1!$E$5:$S$5</c:f>
              <c:numCache>
                <c:formatCode>General</c:formatCode>
                <c:ptCount val="15"/>
                <c:pt idx="0">
                  <c:v>23</c:v>
                </c:pt>
                <c:pt idx="1">
                  <c:v>25</c:v>
                </c:pt>
                <c:pt idx="2">
                  <c:v>24</c:v>
                </c:pt>
                <c:pt idx="3">
                  <c:v>18</c:v>
                </c:pt>
                <c:pt idx="4">
                  <c:v>19</c:v>
                </c:pt>
                <c:pt idx="5">
                  <c:v>19</c:v>
                </c:pt>
                <c:pt idx="6">
                  <c:v>11</c:v>
                </c:pt>
                <c:pt idx="7">
                  <c:v>15</c:v>
                </c:pt>
                <c:pt idx="8">
                  <c:v>8</c:v>
                </c:pt>
                <c:pt idx="9">
                  <c:v>8</c:v>
                </c:pt>
                <c:pt idx="10">
                  <c:v>14</c:v>
                </c:pt>
                <c:pt idx="11">
                  <c:v>16</c:v>
                </c:pt>
                <c:pt idx="12">
                  <c:v>16</c:v>
                </c:pt>
                <c:pt idx="13">
                  <c:v>16</c:v>
                </c:pt>
                <c:pt idx="14">
                  <c:v>15</c:v>
                </c:pt>
              </c:numCache>
            </c:numRef>
          </c:val>
          <c:smooth val="0"/>
        </c:ser>
        <c:ser>
          <c:idx val="3"/>
          <c:order val="3"/>
          <c:tx>
            <c:strRef>
              <c:f>Sheet1!$B$6:$D$6</c:f>
              <c:strCache>
                <c:ptCount val="1"/>
                <c:pt idx="0">
                  <c:v>HUMR Human Relations BA</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Sheet1!$E$6:$S$6</c:f>
              <c:numCache>
                <c:formatCode>General</c:formatCode>
                <c:ptCount val="15"/>
                <c:pt idx="0">
                  <c:v>106</c:v>
                </c:pt>
                <c:pt idx="1">
                  <c:v>104</c:v>
                </c:pt>
                <c:pt idx="2">
                  <c:v>119</c:v>
                </c:pt>
                <c:pt idx="3">
                  <c:v>107</c:v>
                </c:pt>
                <c:pt idx="4">
                  <c:v>136</c:v>
                </c:pt>
                <c:pt idx="5">
                  <c:v>118</c:v>
                </c:pt>
                <c:pt idx="6">
                  <c:v>134</c:v>
                </c:pt>
                <c:pt idx="7">
                  <c:v>127</c:v>
                </c:pt>
                <c:pt idx="8">
                  <c:v>141</c:v>
                </c:pt>
                <c:pt idx="9">
                  <c:v>126</c:v>
                </c:pt>
                <c:pt idx="10">
                  <c:v>127</c:v>
                </c:pt>
                <c:pt idx="11">
                  <c:v>120</c:v>
                </c:pt>
                <c:pt idx="12">
                  <c:v>124</c:v>
                </c:pt>
                <c:pt idx="13">
                  <c:v>107</c:v>
                </c:pt>
                <c:pt idx="14">
                  <c:v>102</c:v>
                </c:pt>
              </c:numCache>
            </c:numRef>
          </c:val>
          <c:smooth val="0"/>
        </c:ser>
        <c:ser>
          <c:idx val="4"/>
          <c:order val="4"/>
          <c:tx>
            <c:strRef>
              <c:f>Sheet1!$B$7:$D$7</c:f>
              <c:strCache>
                <c:ptCount val="1"/>
                <c:pt idx="0">
                  <c:v>SOCCJ Criminal Justice BS</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Sheet1!$E$7:$S$7</c:f>
              <c:numCache>
                <c:formatCode>General</c:formatCode>
                <c:ptCount val="15"/>
                <c:pt idx="0">
                  <c:v>11</c:v>
                </c:pt>
                <c:pt idx="1">
                  <c:v>11</c:v>
                </c:pt>
                <c:pt idx="2">
                  <c:v>20</c:v>
                </c:pt>
                <c:pt idx="3">
                  <c:v>26</c:v>
                </c:pt>
                <c:pt idx="4">
                  <c:v>46</c:v>
                </c:pt>
                <c:pt idx="5">
                  <c:v>49</c:v>
                </c:pt>
                <c:pt idx="6">
                  <c:v>63</c:v>
                </c:pt>
                <c:pt idx="7">
                  <c:v>64</c:v>
                </c:pt>
                <c:pt idx="8">
                  <c:v>73</c:v>
                </c:pt>
                <c:pt idx="9">
                  <c:v>72</c:v>
                </c:pt>
                <c:pt idx="10">
                  <c:v>72</c:v>
                </c:pt>
                <c:pt idx="11">
                  <c:v>64</c:v>
                </c:pt>
                <c:pt idx="12">
                  <c:v>66</c:v>
                </c:pt>
                <c:pt idx="13">
                  <c:v>67</c:v>
                </c:pt>
                <c:pt idx="14">
                  <c:v>57</c:v>
                </c:pt>
              </c:numCache>
            </c:numRef>
          </c:val>
          <c:smooth val="0"/>
        </c:ser>
        <c:ser>
          <c:idx val="5"/>
          <c:order val="5"/>
          <c:tx>
            <c:strRef>
              <c:f>Sheet1!$B$8:$D$8</c:f>
              <c:strCache>
                <c:ptCount val="1"/>
                <c:pt idx="0">
                  <c:v>BADM Business Administration BS</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Sheet1!$E$8:$S$8</c:f>
              <c:numCache>
                <c:formatCode>General</c:formatCode>
                <c:ptCount val="15"/>
                <c:pt idx="0">
                  <c:v>53</c:v>
                </c:pt>
                <c:pt idx="1">
                  <c:v>82</c:v>
                </c:pt>
                <c:pt idx="2">
                  <c:v>91</c:v>
                </c:pt>
                <c:pt idx="3">
                  <c:v>98</c:v>
                </c:pt>
                <c:pt idx="4">
                  <c:v>103</c:v>
                </c:pt>
                <c:pt idx="5">
                  <c:v>107</c:v>
                </c:pt>
                <c:pt idx="6">
                  <c:v>102</c:v>
                </c:pt>
                <c:pt idx="7">
                  <c:v>92</c:v>
                </c:pt>
                <c:pt idx="8">
                  <c:v>96</c:v>
                </c:pt>
                <c:pt idx="9">
                  <c:v>103</c:v>
                </c:pt>
                <c:pt idx="10">
                  <c:v>94</c:v>
                </c:pt>
                <c:pt idx="11">
                  <c:v>87</c:v>
                </c:pt>
                <c:pt idx="12">
                  <c:v>89</c:v>
                </c:pt>
                <c:pt idx="13">
                  <c:v>83</c:v>
                </c:pt>
                <c:pt idx="14">
                  <c:v>67</c:v>
                </c:pt>
              </c:numCache>
            </c:numRef>
          </c:val>
          <c:smooth val="0"/>
        </c:ser>
        <c:ser>
          <c:idx val="6"/>
          <c:order val="6"/>
          <c:tx>
            <c:strRef>
              <c:f>Sheet1!$B$9:$D$9</c:f>
              <c:strCache>
                <c:ptCount val="1"/>
                <c:pt idx="0">
                  <c:v>PNUR Intending to Declare Nursing BSN</c:v>
                </c:pt>
              </c:strCache>
            </c:strRef>
          </c:tx>
          <c:marker>
            <c:symbol val="none"/>
          </c:marker>
          <c:cat>
            <c:strRef>
              <c:f>Sheet1!$E$2:$S$2</c:f>
              <c:strCache>
                <c:ptCount val="15"/>
                <c:pt idx="0">
                  <c:v>F07</c:v>
                </c:pt>
                <c:pt idx="1">
                  <c:v>S08</c:v>
                </c:pt>
                <c:pt idx="2">
                  <c:v>F08</c:v>
                </c:pt>
                <c:pt idx="3">
                  <c:v>S09</c:v>
                </c:pt>
                <c:pt idx="4">
                  <c:v>F09</c:v>
                </c:pt>
                <c:pt idx="5">
                  <c:v>S10</c:v>
                </c:pt>
                <c:pt idx="6">
                  <c:v>F10</c:v>
                </c:pt>
                <c:pt idx="7">
                  <c:v>S11</c:v>
                </c:pt>
                <c:pt idx="8">
                  <c:v>F11</c:v>
                </c:pt>
                <c:pt idx="9">
                  <c:v>S12</c:v>
                </c:pt>
                <c:pt idx="10">
                  <c:v>F12</c:v>
                </c:pt>
                <c:pt idx="11">
                  <c:v>S13</c:v>
                </c:pt>
                <c:pt idx="12">
                  <c:v>F13</c:v>
                </c:pt>
                <c:pt idx="13">
                  <c:v>S14</c:v>
                </c:pt>
                <c:pt idx="14">
                  <c:v>F14</c:v>
                </c:pt>
              </c:strCache>
            </c:strRef>
          </c:cat>
          <c:val>
            <c:numRef>
              <c:f>Sheet1!$E$9:$S$9</c:f>
              <c:numCache>
                <c:formatCode>General</c:formatCode>
                <c:ptCount val="15"/>
                <c:pt idx="0">
                  <c:v>3</c:v>
                </c:pt>
                <c:pt idx="1">
                  <c:v>27</c:v>
                </c:pt>
                <c:pt idx="2">
                  <c:v>70</c:v>
                </c:pt>
                <c:pt idx="3">
                  <c:v>84</c:v>
                </c:pt>
                <c:pt idx="4">
                  <c:v>91</c:v>
                </c:pt>
                <c:pt idx="5">
                  <c:v>95</c:v>
                </c:pt>
                <c:pt idx="6">
                  <c:v>94</c:v>
                </c:pt>
                <c:pt idx="7">
                  <c:v>111</c:v>
                </c:pt>
                <c:pt idx="8">
                  <c:v>136</c:v>
                </c:pt>
                <c:pt idx="9">
                  <c:v>132</c:v>
                </c:pt>
                <c:pt idx="10">
                  <c:v>174</c:v>
                </c:pt>
                <c:pt idx="11">
                  <c:v>133</c:v>
                </c:pt>
                <c:pt idx="12">
                  <c:v>102</c:v>
                </c:pt>
                <c:pt idx="13">
                  <c:v>71</c:v>
                </c:pt>
                <c:pt idx="14">
                  <c:v>51</c:v>
                </c:pt>
              </c:numCache>
            </c:numRef>
          </c:val>
          <c:smooth val="0"/>
        </c:ser>
        <c:dLbls>
          <c:showLegendKey val="0"/>
          <c:showVal val="0"/>
          <c:showCatName val="0"/>
          <c:showSerName val="0"/>
          <c:showPercent val="0"/>
          <c:showBubbleSize val="0"/>
        </c:dLbls>
        <c:marker val="1"/>
        <c:smooth val="0"/>
        <c:axId val="35521664"/>
        <c:axId val="35523200"/>
      </c:lineChart>
      <c:catAx>
        <c:axId val="35521664"/>
        <c:scaling>
          <c:orientation val="minMax"/>
        </c:scaling>
        <c:delete val="0"/>
        <c:axPos val="b"/>
        <c:majorTickMark val="out"/>
        <c:minorTickMark val="none"/>
        <c:tickLblPos val="nextTo"/>
        <c:crossAx val="35523200"/>
        <c:crosses val="autoZero"/>
        <c:auto val="1"/>
        <c:lblAlgn val="ctr"/>
        <c:lblOffset val="100"/>
        <c:noMultiLvlLbl val="0"/>
      </c:catAx>
      <c:valAx>
        <c:axId val="35523200"/>
        <c:scaling>
          <c:orientation val="minMax"/>
        </c:scaling>
        <c:delete val="0"/>
        <c:axPos val="l"/>
        <c:majorGridlines/>
        <c:numFmt formatCode="General" sourceLinked="1"/>
        <c:majorTickMark val="out"/>
        <c:minorTickMark val="none"/>
        <c:tickLblPos val="nextTo"/>
        <c:crossAx val="35521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Sheet1!$B$3:$D$3</c:f>
              <c:strCache>
                <c:ptCount val="1"/>
                <c:pt idx="0">
                  <c:v>SPSECE Early Childhood Education AA</c:v>
                </c:pt>
              </c:strCache>
            </c:strRef>
          </c:tx>
          <c:marker>
            <c:symbol val="none"/>
          </c:marker>
          <c:cat>
            <c:strRef>
              <c:f>Sheet1!$E$2:$G$2</c:f>
              <c:strCache>
                <c:ptCount val="3"/>
                <c:pt idx="0">
                  <c:v>F13</c:v>
                </c:pt>
                <c:pt idx="1">
                  <c:v>S14</c:v>
                </c:pt>
                <c:pt idx="2">
                  <c:v>F14</c:v>
                </c:pt>
              </c:strCache>
            </c:strRef>
          </c:cat>
          <c:val>
            <c:numRef>
              <c:f>Sheet1!$E$3:$G$3</c:f>
              <c:numCache>
                <c:formatCode>General</c:formatCode>
                <c:ptCount val="3"/>
                <c:pt idx="2">
                  <c:v>6</c:v>
                </c:pt>
              </c:numCache>
            </c:numRef>
          </c:val>
          <c:smooth val="0"/>
        </c:ser>
        <c:ser>
          <c:idx val="1"/>
          <c:order val="1"/>
          <c:tx>
            <c:strRef>
              <c:f>Sheet1!$B$4:$D$4</c:f>
              <c:strCache>
                <c:ptCount val="1"/>
                <c:pt idx="0">
                  <c:v>ACCT Accounting BS</c:v>
                </c:pt>
              </c:strCache>
            </c:strRef>
          </c:tx>
          <c:marker>
            <c:symbol val="none"/>
          </c:marker>
          <c:cat>
            <c:strRef>
              <c:f>Sheet1!$E$2:$G$2</c:f>
              <c:strCache>
                <c:ptCount val="3"/>
                <c:pt idx="0">
                  <c:v>F13</c:v>
                </c:pt>
                <c:pt idx="1">
                  <c:v>S14</c:v>
                </c:pt>
                <c:pt idx="2">
                  <c:v>F14</c:v>
                </c:pt>
              </c:strCache>
            </c:strRef>
          </c:cat>
          <c:val>
            <c:numRef>
              <c:f>Sheet1!$E$4:$G$4</c:f>
              <c:numCache>
                <c:formatCode>General</c:formatCode>
                <c:ptCount val="3"/>
                <c:pt idx="1">
                  <c:v>4</c:v>
                </c:pt>
                <c:pt idx="2">
                  <c:v>5</c:v>
                </c:pt>
              </c:numCache>
            </c:numRef>
          </c:val>
          <c:smooth val="0"/>
        </c:ser>
        <c:ser>
          <c:idx val="2"/>
          <c:order val="2"/>
          <c:tx>
            <c:strRef>
              <c:f>Sheet1!$B$5:$D$5</c:f>
              <c:strCache>
                <c:ptCount val="1"/>
                <c:pt idx="0">
                  <c:v>HOSP Hospitality Mgt. BS</c:v>
                </c:pt>
              </c:strCache>
            </c:strRef>
          </c:tx>
          <c:marker>
            <c:symbol val="none"/>
          </c:marker>
          <c:cat>
            <c:strRef>
              <c:f>Sheet1!$E$2:$G$2</c:f>
              <c:strCache>
                <c:ptCount val="3"/>
                <c:pt idx="0">
                  <c:v>F13</c:v>
                </c:pt>
                <c:pt idx="1">
                  <c:v>S14</c:v>
                </c:pt>
                <c:pt idx="2">
                  <c:v>F14</c:v>
                </c:pt>
              </c:strCache>
            </c:strRef>
          </c:cat>
          <c:val>
            <c:numRef>
              <c:f>Sheet1!$E$5:$G$5</c:f>
              <c:numCache>
                <c:formatCode>General</c:formatCode>
                <c:ptCount val="3"/>
                <c:pt idx="1">
                  <c:v>0</c:v>
                </c:pt>
                <c:pt idx="2">
                  <c:v>5</c:v>
                </c:pt>
              </c:numCache>
            </c:numRef>
          </c:val>
          <c:smooth val="0"/>
        </c:ser>
        <c:ser>
          <c:idx val="3"/>
          <c:order val="3"/>
          <c:tx>
            <c:strRef>
              <c:f>Sheet1!$B$6:$D$6</c:f>
              <c:strCache>
                <c:ptCount val="1"/>
                <c:pt idx="0">
                  <c:v>SPSHRM Human Resource Management BS</c:v>
                </c:pt>
              </c:strCache>
            </c:strRef>
          </c:tx>
          <c:marker>
            <c:symbol val="none"/>
          </c:marker>
          <c:cat>
            <c:strRef>
              <c:f>Sheet1!$E$2:$G$2</c:f>
              <c:strCache>
                <c:ptCount val="3"/>
                <c:pt idx="0">
                  <c:v>F13</c:v>
                </c:pt>
                <c:pt idx="1">
                  <c:v>S14</c:v>
                </c:pt>
                <c:pt idx="2">
                  <c:v>F14</c:v>
                </c:pt>
              </c:strCache>
            </c:strRef>
          </c:cat>
          <c:val>
            <c:numRef>
              <c:f>Sheet1!$E$6:$G$6</c:f>
              <c:numCache>
                <c:formatCode>General</c:formatCode>
                <c:ptCount val="3"/>
                <c:pt idx="1">
                  <c:v>5</c:v>
                </c:pt>
                <c:pt idx="2">
                  <c:v>9</c:v>
                </c:pt>
              </c:numCache>
            </c:numRef>
          </c:val>
          <c:smooth val="0"/>
        </c:ser>
        <c:ser>
          <c:idx val="4"/>
          <c:order val="4"/>
          <c:tx>
            <c:strRef>
              <c:f>Sheet1!$B$7:$D$7</c:f>
              <c:strCache>
                <c:ptCount val="1"/>
                <c:pt idx="0">
                  <c:v>SPSECE Early Childhood Education BA</c:v>
                </c:pt>
              </c:strCache>
            </c:strRef>
          </c:tx>
          <c:marker>
            <c:symbol val="none"/>
          </c:marker>
          <c:cat>
            <c:strRef>
              <c:f>Sheet1!$E$2:$G$2</c:f>
              <c:strCache>
                <c:ptCount val="3"/>
                <c:pt idx="0">
                  <c:v>F13</c:v>
                </c:pt>
                <c:pt idx="1">
                  <c:v>S14</c:v>
                </c:pt>
                <c:pt idx="2">
                  <c:v>F14</c:v>
                </c:pt>
              </c:strCache>
            </c:strRef>
          </c:cat>
          <c:val>
            <c:numRef>
              <c:f>Sheet1!$E$7:$G$7</c:f>
              <c:numCache>
                <c:formatCode>General</c:formatCode>
                <c:ptCount val="3"/>
                <c:pt idx="1">
                  <c:v>5</c:v>
                </c:pt>
                <c:pt idx="2">
                  <c:v>19</c:v>
                </c:pt>
              </c:numCache>
            </c:numRef>
          </c:val>
          <c:smooth val="0"/>
        </c:ser>
        <c:ser>
          <c:idx val="5"/>
          <c:order val="5"/>
          <c:tx>
            <c:strRef>
              <c:f>Sheet1!$B$8:$D$8</c:f>
              <c:strCache>
                <c:ptCount val="1"/>
                <c:pt idx="0">
                  <c:v>HLTSC Health Science BS</c:v>
                </c:pt>
              </c:strCache>
            </c:strRef>
          </c:tx>
          <c:marker>
            <c:symbol val="none"/>
          </c:marker>
          <c:cat>
            <c:strRef>
              <c:f>Sheet1!$E$2:$G$2</c:f>
              <c:strCache>
                <c:ptCount val="3"/>
                <c:pt idx="0">
                  <c:v>F13</c:v>
                </c:pt>
                <c:pt idx="1">
                  <c:v>S14</c:v>
                </c:pt>
                <c:pt idx="2">
                  <c:v>F14</c:v>
                </c:pt>
              </c:strCache>
            </c:strRef>
          </c:cat>
          <c:val>
            <c:numRef>
              <c:f>Sheet1!$E$8:$G$8</c:f>
              <c:numCache>
                <c:formatCode>General</c:formatCode>
                <c:ptCount val="3"/>
                <c:pt idx="0">
                  <c:v>7</c:v>
                </c:pt>
                <c:pt idx="1">
                  <c:v>12</c:v>
                </c:pt>
                <c:pt idx="2">
                  <c:v>5</c:v>
                </c:pt>
              </c:numCache>
            </c:numRef>
          </c:val>
          <c:smooth val="0"/>
        </c:ser>
        <c:ser>
          <c:idx val="6"/>
          <c:order val="6"/>
          <c:tx>
            <c:strRef>
              <c:f>Sheet1!$B$9:$D$9</c:f>
              <c:strCache>
                <c:ptCount val="1"/>
                <c:pt idx="0">
                  <c:v>POTA Intending to Declare OTA</c:v>
                </c:pt>
              </c:strCache>
            </c:strRef>
          </c:tx>
          <c:marker>
            <c:symbol val="none"/>
          </c:marker>
          <c:cat>
            <c:strRef>
              <c:f>Sheet1!$E$2:$G$2</c:f>
              <c:strCache>
                <c:ptCount val="3"/>
                <c:pt idx="0">
                  <c:v>F13</c:v>
                </c:pt>
                <c:pt idx="1">
                  <c:v>S14</c:v>
                </c:pt>
                <c:pt idx="2">
                  <c:v>F14</c:v>
                </c:pt>
              </c:strCache>
            </c:strRef>
          </c:cat>
          <c:val>
            <c:numRef>
              <c:f>Sheet1!$E$9:$G$9</c:f>
              <c:numCache>
                <c:formatCode>General</c:formatCode>
                <c:ptCount val="3"/>
                <c:pt idx="2">
                  <c:v>15</c:v>
                </c:pt>
              </c:numCache>
            </c:numRef>
          </c:val>
          <c:smooth val="0"/>
        </c:ser>
        <c:dLbls>
          <c:showLegendKey val="0"/>
          <c:showVal val="0"/>
          <c:showCatName val="0"/>
          <c:showSerName val="0"/>
          <c:showPercent val="0"/>
          <c:showBubbleSize val="0"/>
        </c:dLbls>
        <c:marker val="1"/>
        <c:smooth val="0"/>
        <c:axId val="79249408"/>
        <c:axId val="79250944"/>
      </c:lineChart>
      <c:catAx>
        <c:axId val="79249408"/>
        <c:scaling>
          <c:orientation val="minMax"/>
        </c:scaling>
        <c:delete val="0"/>
        <c:axPos val="b"/>
        <c:majorTickMark val="out"/>
        <c:minorTickMark val="none"/>
        <c:tickLblPos val="nextTo"/>
        <c:crossAx val="79250944"/>
        <c:crosses val="autoZero"/>
        <c:auto val="1"/>
        <c:lblAlgn val="ctr"/>
        <c:lblOffset val="100"/>
        <c:noMultiLvlLbl val="0"/>
      </c:catAx>
      <c:valAx>
        <c:axId val="79250944"/>
        <c:scaling>
          <c:orientation val="minMax"/>
        </c:scaling>
        <c:delete val="0"/>
        <c:axPos val="l"/>
        <c:majorGridlines/>
        <c:numFmt formatCode="General" sourceLinked="1"/>
        <c:majorTickMark val="out"/>
        <c:minorTickMark val="none"/>
        <c:tickLblPos val="nextTo"/>
        <c:crossAx val="79249408"/>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Telaekah Brooks</dc:creator>
  <cp:lastModifiedBy>toliverk</cp:lastModifiedBy>
  <cp:revision>2</cp:revision>
  <dcterms:created xsi:type="dcterms:W3CDTF">2015-03-25T13:44:00Z</dcterms:created>
  <dcterms:modified xsi:type="dcterms:W3CDTF">2015-03-25T13:44:00Z</dcterms:modified>
</cp:coreProperties>
</file>