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66"/>
        <w:gridCol w:w="3233"/>
        <w:gridCol w:w="3277"/>
      </w:tblGrid>
      <w:tr w:rsidR="00522542" w:rsidTr="005D28D2">
        <w:tc>
          <w:tcPr>
            <w:tcW w:w="9576" w:type="dxa"/>
            <w:gridSpan w:val="3"/>
          </w:tcPr>
          <w:p w:rsidR="00522542" w:rsidRPr="00065115" w:rsidRDefault="00522542" w:rsidP="00522542">
            <w:pPr>
              <w:jc w:val="center"/>
              <w:rPr>
                <w:rFonts w:ascii="Times New Roman" w:hAnsi="Times New Roman" w:cs="Times New Roman"/>
                <w:sz w:val="24"/>
                <w:szCs w:val="24"/>
              </w:rPr>
            </w:pPr>
            <w:bookmarkStart w:id="0" w:name="_GoBack"/>
            <w:bookmarkEnd w:id="0"/>
            <w:r w:rsidRPr="00065115">
              <w:rPr>
                <w:rFonts w:ascii="Times New Roman" w:hAnsi="Times New Roman" w:cs="Times New Roman"/>
                <w:sz w:val="24"/>
                <w:szCs w:val="24"/>
              </w:rPr>
              <w:t>Early Alert Comparison:  Key Data</w:t>
            </w:r>
          </w:p>
          <w:p w:rsidR="00522542" w:rsidRPr="00065115" w:rsidRDefault="00522542" w:rsidP="00522542">
            <w:pPr>
              <w:jc w:val="center"/>
              <w:rPr>
                <w:rFonts w:ascii="Times New Roman" w:hAnsi="Times New Roman" w:cs="Times New Roman"/>
                <w:sz w:val="24"/>
                <w:szCs w:val="24"/>
              </w:rPr>
            </w:pPr>
          </w:p>
        </w:tc>
      </w:tr>
      <w:tr w:rsidR="00522542" w:rsidTr="00522542">
        <w:tc>
          <w:tcPr>
            <w:tcW w:w="3066" w:type="dxa"/>
          </w:tcPr>
          <w:p w:rsidR="00522542" w:rsidRPr="00065115" w:rsidRDefault="00522542" w:rsidP="00522542">
            <w:pPr>
              <w:rPr>
                <w:rFonts w:ascii="Times New Roman" w:hAnsi="Times New Roman" w:cs="Times New Roman"/>
                <w:sz w:val="24"/>
                <w:szCs w:val="24"/>
              </w:rPr>
            </w:pP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Fall 2012</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Spring 2013</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Total Alerts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291</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214</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Faculty Submitting Alerts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44 (Fac/Staff/Adjunct unknown)</w:t>
            </w:r>
          </w:p>
        </w:tc>
        <w:tc>
          <w:tcPr>
            <w:tcW w:w="3277" w:type="dxa"/>
          </w:tcPr>
          <w:p w:rsidR="00522542" w:rsidRPr="00065115" w:rsidRDefault="00522542" w:rsidP="00504391">
            <w:pPr>
              <w:rPr>
                <w:rFonts w:ascii="Times New Roman" w:hAnsi="Times New Roman" w:cs="Times New Roman"/>
                <w:sz w:val="24"/>
                <w:szCs w:val="24"/>
              </w:rPr>
            </w:pPr>
            <w:r w:rsidRPr="00065115">
              <w:rPr>
                <w:rFonts w:ascii="Times New Roman" w:hAnsi="Times New Roman" w:cs="Times New Roman"/>
                <w:sz w:val="24"/>
                <w:szCs w:val="24"/>
              </w:rPr>
              <w:t>19 (17 FT, 2 A</w:t>
            </w:r>
            <w:r w:rsidR="00504391">
              <w:rPr>
                <w:rFonts w:ascii="Times New Roman" w:hAnsi="Times New Roman" w:cs="Times New Roman"/>
                <w:sz w:val="24"/>
                <w:szCs w:val="24"/>
              </w:rPr>
              <w:t>djunct</w:t>
            </w:r>
            <w:r w:rsidRPr="00065115">
              <w:rPr>
                <w:rFonts w:ascii="Times New Roman" w:hAnsi="Times New Roman" w:cs="Times New Roman"/>
                <w:sz w:val="24"/>
                <w:szCs w:val="24"/>
              </w:rPr>
              <w:t>)</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Total Students on Alert</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232 (22.3% student body, N=1,038)</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170 (17.5% student body, N=970)</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Students on Multiple Alert</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59 (25.4%)</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32 (17.6% of all on alert)</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Probation Students on Alert</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Not quantified</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65 (38.2% of all on alert)</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F grades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109 (47%)</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75 (44% of all alerts)</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Freshmen</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148</w:t>
            </w:r>
            <w:r w:rsidR="00065115" w:rsidRPr="00065115">
              <w:rPr>
                <w:rFonts w:ascii="Times New Roman" w:hAnsi="Times New Roman" w:cs="Times New Roman"/>
                <w:sz w:val="24"/>
                <w:szCs w:val="24"/>
              </w:rPr>
              <w:t xml:space="preserve"> (63.7%)</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104</w:t>
            </w:r>
            <w:r w:rsidR="00065115" w:rsidRPr="00065115">
              <w:rPr>
                <w:rFonts w:ascii="Times New Roman" w:hAnsi="Times New Roman" w:cs="Times New Roman"/>
                <w:sz w:val="24"/>
                <w:szCs w:val="24"/>
              </w:rPr>
              <w:t xml:space="preserve"> (61%)</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Sophomores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49</w:t>
            </w:r>
            <w:r w:rsidR="00065115" w:rsidRPr="00065115">
              <w:rPr>
                <w:rFonts w:ascii="Times New Roman" w:hAnsi="Times New Roman" w:cs="Times New Roman"/>
                <w:sz w:val="24"/>
                <w:szCs w:val="24"/>
              </w:rPr>
              <w:t xml:space="preserve"> (21%)</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26</w:t>
            </w:r>
            <w:r w:rsidR="00065115" w:rsidRPr="00065115">
              <w:rPr>
                <w:rFonts w:ascii="Times New Roman" w:hAnsi="Times New Roman" w:cs="Times New Roman"/>
                <w:sz w:val="24"/>
                <w:szCs w:val="24"/>
              </w:rPr>
              <w:t xml:space="preserve"> (16%)</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Juniors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15</w:t>
            </w:r>
            <w:r w:rsidR="00065115" w:rsidRPr="00065115">
              <w:rPr>
                <w:rFonts w:ascii="Times New Roman" w:hAnsi="Times New Roman" w:cs="Times New Roman"/>
                <w:sz w:val="24"/>
                <w:szCs w:val="24"/>
              </w:rPr>
              <w:t xml:space="preserve"> (6.4%)</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21</w:t>
            </w:r>
            <w:r w:rsidR="00065115" w:rsidRPr="00065115">
              <w:rPr>
                <w:rFonts w:ascii="Times New Roman" w:hAnsi="Times New Roman" w:cs="Times New Roman"/>
                <w:sz w:val="24"/>
                <w:szCs w:val="24"/>
              </w:rPr>
              <w:t xml:space="preserve"> (12.3%)</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Seniors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14</w:t>
            </w:r>
            <w:r w:rsidR="00065115" w:rsidRPr="00065115">
              <w:rPr>
                <w:rFonts w:ascii="Times New Roman" w:hAnsi="Times New Roman" w:cs="Times New Roman"/>
                <w:sz w:val="24"/>
                <w:szCs w:val="24"/>
              </w:rPr>
              <w:t xml:space="preserve"> (6%)</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19</w:t>
            </w:r>
            <w:r w:rsidR="00065115" w:rsidRPr="00065115">
              <w:rPr>
                <w:rFonts w:ascii="Times New Roman" w:hAnsi="Times New Roman" w:cs="Times New Roman"/>
                <w:sz w:val="24"/>
                <w:szCs w:val="24"/>
              </w:rPr>
              <w:t xml:space="preserve"> (11%)</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Largest curricular group</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 xml:space="preserve">UND-N (43 </w:t>
            </w:r>
            <w:r w:rsidR="00065115" w:rsidRPr="00065115">
              <w:rPr>
                <w:rFonts w:ascii="Times New Roman" w:hAnsi="Times New Roman" w:cs="Times New Roman"/>
                <w:sz w:val="24"/>
                <w:szCs w:val="24"/>
              </w:rPr>
              <w:t>–</w:t>
            </w:r>
            <w:r w:rsidRPr="00065115">
              <w:rPr>
                <w:rFonts w:ascii="Times New Roman" w:hAnsi="Times New Roman" w:cs="Times New Roman"/>
                <w:sz w:val="24"/>
                <w:szCs w:val="24"/>
              </w:rPr>
              <w:t xml:space="preserve"> </w:t>
            </w:r>
            <w:r w:rsidR="00065115" w:rsidRPr="00065115">
              <w:rPr>
                <w:rFonts w:ascii="Times New Roman" w:hAnsi="Times New Roman" w:cs="Times New Roman"/>
                <w:sz w:val="24"/>
                <w:szCs w:val="24"/>
              </w:rPr>
              <w:t>18.5%)</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 xml:space="preserve">UND-N </w:t>
            </w:r>
          </w:p>
        </w:tc>
      </w:tr>
      <w:tr w:rsidR="00522542" w:rsidTr="00522542">
        <w:tc>
          <w:tcPr>
            <w:tcW w:w="3066"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Transfers</w:t>
            </w:r>
          </w:p>
        </w:tc>
        <w:tc>
          <w:tcPr>
            <w:tcW w:w="3233"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41 (</w:t>
            </w:r>
            <w:r w:rsidR="00065115" w:rsidRPr="00065115">
              <w:rPr>
                <w:rFonts w:ascii="Times New Roman" w:hAnsi="Times New Roman" w:cs="Times New Roman"/>
                <w:sz w:val="24"/>
                <w:szCs w:val="24"/>
              </w:rPr>
              <w:t>17.6%)</w:t>
            </w:r>
          </w:p>
        </w:tc>
        <w:tc>
          <w:tcPr>
            <w:tcW w:w="3277" w:type="dxa"/>
          </w:tcPr>
          <w:p w:rsidR="00522542" w:rsidRPr="00065115" w:rsidRDefault="00522542" w:rsidP="00522542">
            <w:pPr>
              <w:rPr>
                <w:rFonts w:ascii="Times New Roman" w:hAnsi="Times New Roman" w:cs="Times New Roman"/>
                <w:sz w:val="24"/>
                <w:szCs w:val="24"/>
              </w:rPr>
            </w:pPr>
            <w:r w:rsidRPr="00065115">
              <w:rPr>
                <w:rFonts w:ascii="Times New Roman" w:hAnsi="Times New Roman" w:cs="Times New Roman"/>
                <w:sz w:val="24"/>
                <w:szCs w:val="24"/>
              </w:rPr>
              <w:t>40 (23.5%)</w:t>
            </w:r>
          </w:p>
        </w:tc>
      </w:tr>
    </w:tbl>
    <w:p w:rsidR="004F707C" w:rsidRDefault="004F707C" w:rsidP="00522542"/>
    <w:p w:rsidR="00065115" w:rsidRPr="00065115" w:rsidRDefault="00065115" w:rsidP="00522542">
      <w:pPr>
        <w:rPr>
          <w:rFonts w:ascii="Times New Roman" w:hAnsi="Times New Roman" w:cs="Times New Roman"/>
          <w:sz w:val="24"/>
          <w:szCs w:val="24"/>
        </w:rPr>
      </w:pPr>
      <w:r w:rsidRPr="00065115">
        <w:rPr>
          <w:rFonts w:ascii="Times New Roman" w:hAnsi="Times New Roman" w:cs="Times New Roman"/>
          <w:sz w:val="24"/>
          <w:szCs w:val="24"/>
        </w:rPr>
        <w:t>In terms of percentage of the student body, we have fewer students on early alert (17.5% in Spring; 22.3% in Fall) BUT overall far fewer faculty submitted early alerts.  It is hard to know if this means that the actual number of alerts is down (we hope) or if faculty simply didn’t submit them.  If the latter, this will become clear on the up and coming mid-term analysis as we see to what extent this pattern remains consistent on the mandatory reporting measure (mid-terms C-and below).</w:t>
      </w:r>
    </w:p>
    <w:p w:rsidR="00065115" w:rsidRPr="00065115" w:rsidRDefault="00065115" w:rsidP="00522542">
      <w:pPr>
        <w:rPr>
          <w:rFonts w:ascii="Times New Roman" w:hAnsi="Times New Roman" w:cs="Times New Roman"/>
          <w:sz w:val="24"/>
          <w:szCs w:val="24"/>
        </w:rPr>
      </w:pPr>
      <w:r w:rsidRPr="00065115">
        <w:rPr>
          <w:rFonts w:ascii="Times New Roman" w:hAnsi="Times New Roman" w:cs="Times New Roman"/>
          <w:sz w:val="24"/>
          <w:szCs w:val="24"/>
        </w:rPr>
        <w:t>Of those reported, we do have fewer with multiple alerts, which is encouraging; going forward we will cross-check our lists with students on probation and track the data that way as well.  The above data clearly suggest that we need to continue to focus on students on probation who receive early alerts, as well as freshmen.</w:t>
      </w:r>
    </w:p>
    <w:p w:rsidR="00065115" w:rsidRPr="00065115" w:rsidRDefault="00065115" w:rsidP="00522542">
      <w:pPr>
        <w:rPr>
          <w:rFonts w:ascii="Times New Roman" w:hAnsi="Times New Roman" w:cs="Times New Roman"/>
          <w:sz w:val="24"/>
          <w:szCs w:val="24"/>
        </w:rPr>
      </w:pPr>
      <w:r w:rsidRPr="00065115">
        <w:rPr>
          <w:rFonts w:ascii="Times New Roman" w:hAnsi="Times New Roman" w:cs="Times New Roman"/>
          <w:sz w:val="24"/>
          <w:szCs w:val="24"/>
        </w:rPr>
        <w:t>Let me know if you see additional patterns and trends, and/or if you’d like additional information.</w:t>
      </w:r>
    </w:p>
    <w:p w:rsidR="00065115" w:rsidRPr="00065115" w:rsidRDefault="00065115" w:rsidP="00522542">
      <w:pPr>
        <w:rPr>
          <w:rFonts w:ascii="Times New Roman" w:hAnsi="Times New Roman" w:cs="Times New Roman"/>
          <w:sz w:val="24"/>
          <w:szCs w:val="24"/>
        </w:rPr>
      </w:pPr>
      <w:r w:rsidRPr="00065115">
        <w:rPr>
          <w:rFonts w:ascii="Times New Roman" w:hAnsi="Times New Roman" w:cs="Times New Roman"/>
          <w:sz w:val="24"/>
          <w:szCs w:val="24"/>
        </w:rPr>
        <w:t>Sincerely,</w:t>
      </w:r>
    </w:p>
    <w:p w:rsidR="00065115" w:rsidRPr="00065115" w:rsidRDefault="00065115" w:rsidP="00522542">
      <w:pPr>
        <w:rPr>
          <w:rFonts w:ascii="Times New Roman" w:hAnsi="Times New Roman" w:cs="Times New Roman"/>
          <w:sz w:val="24"/>
          <w:szCs w:val="24"/>
        </w:rPr>
      </w:pPr>
      <w:r w:rsidRPr="00065115">
        <w:rPr>
          <w:rFonts w:ascii="Times New Roman" w:hAnsi="Times New Roman" w:cs="Times New Roman"/>
          <w:sz w:val="24"/>
          <w:szCs w:val="24"/>
        </w:rPr>
        <w:t>Carlota, Eva and Tiara</w:t>
      </w:r>
    </w:p>
    <w:sectPr w:rsidR="00065115" w:rsidRPr="00065115" w:rsidSect="004F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8F"/>
    <w:rsid w:val="00065115"/>
    <w:rsid w:val="003472D5"/>
    <w:rsid w:val="004F707C"/>
    <w:rsid w:val="00504391"/>
    <w:rsid w:val="00522542"/>
    <w:rsid w:val="00A71C8F"/>
    <w:rsid w:val="00BA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50257">
      <w:bodyDiv w:val="1"/>
      <w:marLeft w:val="0"/>
      <w:marRight w:val="0"/>
      <w:marTop w:val="0"/>
      <w:marBottom w:val="0"/>
      <w:divBdr>
        <w:top w:val="none" w:sz="0" w:space="0" w:color="auto"/>
        <w:left w:val="none" w:sz="0" w:space="0" w:color="auto"/>
        <w:bottom w:val="none" w:sz="0" w:space="0" w:color="auto"/>
        <w:right w:val="none" w:sz="0" w:space="0" w:color="auto"/>
      </w:divBdr>
      <w:divsChild>
        <w:div w:id="728302975">
          <w:marLeft w:val="0"/>
          <w:marRight w:val="0"/>
          <w:marTop w:val="0"/>
          <w:marBottom w:val="0"/>
          <w:divBdr>
            <w:top w:val="none" w:sz="0" w:space="0" w:color="auto"/>
            <w:left w:val="none" w:sz="0" w:space="0" w:color="auto"/>
            <w:bottom w:val="none" w:sz="0" w:space="0" w:color="auto"/>
            <w:right w:val="none" w:sz="0" w:space="0" w:color="auto"/>
          </w:divBdr>
        </w:div>
        <w:div w:id="1608081024">
          <w:marLeft w:val="0"/>
          <w:marRight w:val="0"/>
          <w:marTop w:val="0"/>
          <w:marBottom w:val="0"/>
          <w:divBdr>
            <w:top w:val="none" w:sz="0" w:space="0" w:color="auto"/>
            <w:left w:val="none" w:sz="0" w:space="0" w:color="auto"/>
            <w:bottom w:val="none" w:sz="0" w:space="0" w:color="auto"/>
            <w:right w:val="none" w:sz="0" w:space="0" w:color="auto"/>
          </w:divBdr>
        </w:div>
        <w:div w:id="86469272">
          <w:marLeft w:val="0"/>
          <w:marRight w:val="0"/>
          <w:marTop w:val="0"/>
          <w:marBottom w:val="0"/>
          <w:divBdr>
            <w:top w:val="none" w:sz="0" w:space="0" w:color="auto"/>
            <w:left w:val="none" w:sz="0" w:space="0" w:color="auto"/>
            <w:bottom w:val="none" w:sz="0" w:space="0" w:color="auto"/>
            <w:right w:val="none" w:sz="0" w:space="0" w:color="auto"/>
          </w:divBdr>
        </w:div>
        <w:div w:id="1847744770">
          <w:marLeft w:val="0"/>
          <w:marRight w:val="0"/>
          <w:marTop w:val="0"/>
          <w:marBottom w:val="0"/>
          <w:divBdr>
            <w:top w:val="none" w:sz="0" w:space="0" w:color="auto"/>
            <w:left w:val="none" w:sz="0" w:space="0" w:color="auto"/>
            <w:bottom w:val="none" w:sz="0" w:space="0" w:color="auto"/>
            <w:right w:val="none" w:sz="0" w:space="0" w:color="auto"/>
          </w:divBdr>
        </w:div>
        <w:div w:id="1153444322">
          <w:marLeft w:val="0"/>
          <w:marRight w:val="0"/>
          <w:marTop w:val="0"/>
          <w:marBottom w:val="0"/>
          <w:divBdr>
            <w:top w:val="none" w:sz="0" w:space="0" w:color="auto"/>
            <w:left w:val="none" w:sz="0" w:space="0" w:color="auto"/>
            <w:bottom w:val="none" w:sz="0" w:space="0" w:color="auto"/>
            <w:right w:val="none" w:sz="0" w:space="0" w:color="auto"/>
          </w:divBdr>
        </w:div>
        <w:div w:id="119861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ocampoc</dc:creator>
  <cp:lastModifiedBy>toliverk</cp:lastModifiedBy>
  <cp:revision>2</cp:revision>
  <dcterms:created xsi:type="dcterms:W3CDTF">2014-03-28T20:15:00Z</dcterms:created>
  <dcterms:modified xsi:type="dcterms:W3CDTF">2014-03-28T20:15:00Z</dcterms:modified>
</cp:coreProperties>
</file>