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C9" w:rsidRDefault="007D3F7F" w:rsidP="00AA2FAC">
      <w:pPr>
        <w:jc w:val="center"/>
        <w:rPr>
          <w:b/>
        </w:rPr>
      </w:pPr>
      <w:bookmarkStart w:id="0" w:name="_GoBack"/>
      <w:bookmarkEnd w:id="0"/>
      <w:r>
        <w:rPr>
          <w:b/>
          <w:noProof/>
        </w:rPr>
        <w:drawing>
          <wp:inline distT="0" distB="0" distL="0" distR="0">
            <wp:extent cx="4324350" cy="1076325"/>
            <wp:effectExtent l="19050" t="0" r="0" b="0"/>
            <wp:docPr id="1" name="Picture 1" descr="Trinity Logo in 2-color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 in 2-color Standard"/>
                    <pic:cNvPicPr>
                      <a:picLocks noChangeAspect="1" noChangeArrowheads="1"/>
                    </pic:cNvPicPr>
                  </pic:nvPicPr>
                  <pic:blipFill>
                    <a:blip r:embed="rId9" cstate="print"/>
                    <a:srcRect/>
                    <a:stretch>
                      <a:fillRect/>
                    </a:stretch>
                  </pic:blipFill>
                  <pic:spPr bwMode="auto">
                    <a:xfrm>
                      <a:off x="0" y="0"/>
                      <a:ext cx="4324350" cy="1076325"/>
                    </a:xfrm>
                    <a:prstGeom prst="rect">
                      <a:avLst/>
                    </a:prstGeom>
                    <a:noFill/>
                    <a:ln w="9525">
                      <a:noFill/>
                      <a:miter lim="800000"/>
                      <a:headEnd/>
                      <a:tailEnd/>
                    </a:ln>
                  </pic:spPr>
                </pic:pic>
              </a:graphicData>
            </a:graphic>
          </wp:inline>
        </w:drawing>
      </w:r>
    </w:p>
    <w:p w:rsidR="00184D98" w:rsidRDefault="00184D98" w:rsidP="00AA2FAC">
      <w:pPr>
        <w:jc w:val="center"/>
        <w:rPr>
          <w:b/>
        </w:rPr>
      </w:pPr>
    </w:p>
    <w:p w:rsidR="00184D98" w:rsidRDefault="00184D98" w:rsidP="00AA2FAC">
      <w:pPr>
        <w:jc w:val="center"/>
        <w:rPr>
          <w:b/>
        </w:rPr>
      </w:pPr>
    </w:p>
    <w:p w:rsidR="00AA2FAC" w:rsidRPr="005B6869" w:rsidRDefault="00AA2FAC" w:rsidP="00AA2FAC">
      <w:pPr>
        <w:jc w:val="center"/>
        <w:rPr>
          <w:b/>
          <w:sz w:val="48"/>
          <w:szCs w:val="48"/>
        </w:rPr>
      </w:pPr>
      <w:smartTag w:uri="urn:schemas-microsoft-com:office:smarttags" w:element="place">
        <w:smartTag w:uri="urn:schemas-microsoft-com:office:smarttags" w:element="PlaceName">
          <w:r w:rsidRPr="005B6869">
            <w:rPr>
              <w:b/>
              <w:sz w:val="48"/>
              <w:szCs w:val="48"/>
            </w:rPr>
            <w:t>Trinity</w:t>
          </w:r>
        </w:smartTag>
        <w:r w:rsidRPr="005B6869">
          <w:rPr>
            <w:b/>
            <w:sz w:val="48"/>
            <w:szCs w:val="48"/>
          </w:rPr>
          <w:t xml:space="preserve"> </w:t>
        </w:r>
        <w:smartTag w:uri="urn:schemas-microsoft-com:office:smarttags" w:element="PlaceName">
          <w:r w:rsidRPr="005B6869">
            <w:rPr>
              <w:b/>
              <w:sz w:val="48"/>
              <w:szCs w:val="48"/>
            </w:rPr>
            <w:t>Washington</w:t>
          </w:r>
        </w:smartTag>
        <w:r w:rsidRPr="005B6869">
          <w:rPr>
            <w:b/>
            <w:sz w:val="48"/>
            <w:szCs w:val="48"/>
          </w:rPr>
          <w:t xml:space="preserve"> </w:t>
        </w:r>
        <w:smartTag w:uri="urn:schemas-microsoft-com:office:smarttags" w:element="PlaceType">
          <w:r w:rsidRPr="005B6869">
            <w:rPr>
              <w:b/>
              <w:sz w:val="48"/>
              <w:szCs w:val="48"/>
            </w:rPr>
            <w:t>University</w:t>
          </w:r>
        </w:smartTag>
      </w:smartTag>
    </w:p>
    <w:p w:rsidR="00AA2FAC" w:rsidRPr="005B6869" w:rsidRDefault="00AA2FAC" w:rsidP="00AA2FAC">
      <w:pPr>
        <w:jc w:val="center"/>
        <w:rPr>
          <w:b/>
          <w:sz w:val="48"/>
          <w:szCs w:val="48"/>
        </w:rPr>
      </w:pPr>
      <w:r w:rsidRPr="005B6869">
        <w:rPr>
          <w:b/>
          <w:sz w:val="48"/>
          <w:szCs w:val="48"/>
        </w:rPr>
        <w:t>College of Arts and Sciences</w:t>
      </w:r>
    </w:p>
    <w:p w:rsidR="00184D98" w:rsidRDefault="00AA2FAC" w:rsidP="00AA2FAC">
      <w:pPr>
        <w:jc w:val="center"/>
        <w:rPr>
          <w:b/>
          <w:sz w:val="48"/>
          <w:szCs w:val="48"/>
        </w:rPr>
      </w:pPr>
      <w:r w:rsidRPr="005B6869">
        <w:rPr>
          <w:b/>
          <w:sz w:val="48"/>
          <w:szCs w:val="48"/>
        </w:rPr>
        <w:t xml:space="preserve">Staff Semester Report </w:t>
      </w:r>
    </w:p>
    <w:p w:rsidR="00E123EF" w:rsidRPr="005B6869" w:rsidRDefault="00E123EF" w:rsidP="00AA2FAC">
      <w:pPr>
        <w:jc w:val="center"/>
        <w:rPr>
          <w:b/>
          <w:sz w:val="48"/>
          <w:szCs w:val="48"/>
        </w:rPr>
      </w:pPr>
    </w:p>
    <w:p w:rsidR="00E123EF" w:rsidRDefault="00C75BA6" w:rsidP="00AA2FAC">
      <w:pPr>
        <w:jc w:val="center"/>
        <w:rPr>
          <w:b/>
          <w:sz w:val="48"/>
          <w:szCs w:val="48"/>
        </w:rPr>
      </w:pPr>
      <w:r>
        <w:rPr>
          <w:b/>
          <w:sz w:val="48"/>
          <w:szCs w:val="48"/>
        </w:rPr>
        <w:t>Math 101S,</w:t>
      </w:r>
      <w:r w:rsidR="00AA2FAC" w:rsidRPr="005B6869">
        <w:rPr>
          <w:b/>
          <w:sz w:val="48"/>
          <w:szCs w:val="48"/>
        </w:rPr>
        <w:t xml:space="preserve"> Math 102</w:t>
      </w:r>
      <w:r w:rsidR="00E123EF">
        <w:rPr>
          <w:b/>
          <w:sz w:val="48"/>
          <w:szCs w:val="48"/>
        </w:rPr>
        <w:t xml:space="preserve">, </w:t>
      </w:r>
    </w:p>
    <w:p w:rsidR="00E123EF" w:rsidRDefault="00E123EF" w:rsidP="00AA2FAC">
      <w:pPr>
        <w:jc w:val="center"/>
        <w:rPr>
          <w:b/>
          <w:sz w:val="48"/>
          <w:szCs w:val="48"/>
        </w:rPr>
      </w:pPr>
      <w:r>
        <w:rPr>
          <w:b/>
          <w:sz w:val="48"/>
          <w:szCs w:val="48"/>
        </w:rPr>
        <w:t>Math 108,</w:t>
      </w:r>
      <w:r w:rsidR="00C75BA6">
        <w:rPr>
          <w:b/>
          <w:sz w:val="48"/>
          <w:szCs w:val="48"/>
        </w:rPr>
        <w:t xml:space="preserve"> Math 123</w:t>
      </w:r>
    </w:p>
    <w:p w:rsidR="00184D98" w:rsidRPr="005B6869" w:rsidRDefault="00AA2FAC" w:rsidP="00AA2FAC">
      <w:pPr>
        <w:jc w:val="center"/>
        <w:rPr>
          <w:b/>
          <w:sz w:val="48"/>
          <w:szCs w:val="48"/>
        </w:rPr>
      </w:pPr>
      <w:r w:rsidRPr="005B6869">
        <w:rPr>
          <w:b/>
          <w:sz w:val="48"/>
          <w:szCs w:val="48"/>
        </w:rPr>
        <w:t xml:space="preserve"> </w:t>
      </w:r>
    </w:p>
    <w:p w:rsidR="00AA2FAC" w:rsidRPr="005B6869" w:rsidRDefault="00C75BA6" w:rsidP="00AA2FAC">
      <w:pPr>
        <w:jc w:val="center"/>
        <w:rPr>
          <w:b/>
          <w:sz w:val="48"/>
          <w:szCs w:val="48"/>
        </w:rPr>
      </w:pPr>
      <w:r>
        <w:rPr>
          <w:b/>
          <w:sz w:val="48"/>
          <w:szCs w:val="48"/>
        </w:rPr>
        <w:t>Fall</w:t>
      </w:r>
      <w:r w:rsidR="0082514B">
        <w:rPr>
          <w:b/>
          <w:sz w:val="48"/>
          <w:szCs w:val="48"/>
        </w:rPr>
        <w:t xml:space="preserve"> Semester 2012</w:t>
      </w:r>
    </w:p>
    <w:p w:rsidR="00184D98" w:rsidRPr="005B6869" w:rsidRDefault="00184D98" w:rsidP="00AA2FAC">
      <w:pPr>
        <w:jc w:val="center"/>
        <w:rPr>
          <w:b/>
          <w:sz w:val="48"/>
          <w:szCs w:val="48"/>
        </w:rPr>
      </w:pPr>
    </w:p>
    <w:p w:rsidR="005B6869" w:rsidRPr="005B6869" w:rsidRDefault="005B6869" w:rsidP="00AA2FAC">
      <w:pPr>
        <w:jc w:val="center"/>
        <w:rPr>
          <w:b/>
          <w:sz w:val="48"/>
          <w:szCs w:val="48"/>
        </w:rPr>
      </w:pPr>
    </w:p>
    <w:p w:rsidR="00184D98" w:rsidRPr="005B6869" w:rsidRDefault="00184D98" w:rsidP="00AA2FAC">
      <w:pPr>
        <w:jc w:val="center"/>
        <w:rPr>
          <w:b/>
          <w:sz w:val="48"/>
          <w:szCs w:val="48"/>
        </w:rPr>
      </w:pPr>
      <w:r w:rsidRPr="005B6869">
        <w:rPr>
          <w:b/>
          <w:sz w:val="48"/>
          <w:szCs w:val="48"/>
        </w:rPr>
        <w:t>Joseph Sheridan</w:t>
      </w:r>
    </w:p>
    <w:p w:rsidR="00184D98" w:rsidRPr="005B6869" w:rsidRDefault="00184D98" w:rsidP="00AA2FAC">
      <w:pPr>
        <w:jc w:val="center"/>
        <w:rPr>
          <w:b/>
          <w:sz w:val="48"/>
          <w:szCs w:val="48"/>
        </w:rPr>
        <w:sectPr w:rsidR="00184D98" w:rsidRPr="005B6869" w:rsidSect="004B2AD9">
          <w:footerReference w:type="even" r:id="rId10"/>
          <w:footerReference w:type="default" r:id="rId11"/>
          <w:pgSz w:w="12240" w:h="15840"/>
          <w:pgMar w:top="1440" w:right="1800" w:bottom="1440" w:left="1800" w:header="720" w:footer="720" w:gutter="0"/>
          <w:cols w:space="720"/>
          <w:titlePg/>
          <w:docGrid w:linePitch="360"/>
        </w:sectPr>
      </w:pPr>
      <w:r w:rsidRPr="005B6869">
        <w:rPr>
          <w:b/>
          <w:sz w:val="48"/>
          <w:szCs w:val="48"/>
        </w:rPr>
        <w:t>Mathematics Specialist</w:t>
      </w:r>
    </w:p>
    <w:p w:rsidR="00184D98" w:rsidRPr="005B6869" w:rsidRDefault="00184D98" w:rsidP="00184D98">
      <w:pPr>
        <w:rPr>
          <w:sz w:val="48"/>
          <w:szCs w:val="48"/>
        </w:rPr>
      </w:pPr>
    </w:p>
    <w:p w:rsidR="00184D98" w:rsidRDefault="00184D98" w:rsidP="00184D98"/>
    <w:p w:rsidR="00184D98" w:rsidRDefault="00184D98" w:rsidP="00184D98"/>
    <w:p w:rsidR="00184D98" w:rsidRDefault="007D3F7F" w:rsidP="00AE50B1">
      <w:r>
        <w:rPr>
          <w:noProof/>
        </w:rPr>
        <w:drawing>
          <wp:inline distT="0" distB="0" distL="0" distR="0">
            <wp:extent cx="6115050" cy="1533525"/>
            <wp:effectExtent l="19050" t="0" r="0" b="0"/>
            <wp:docPr id="2" name="Picture 2" descr="Math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 Background 2"/>
                    <pic:cNvPicPr>
                      <a:picLocks noChangeAspect="1" noChangeArrowheads="1"/>
                    </pic:cNvPicPr>
                  </pic:nvPicPr>
                  <pic:blipFill>
                    <a:blip r:embed="rId12" cstate="print"/>
                    <a:srcRect/>
                    <a:stretch>
                      <a:fillRect/>
                    </a:stretch>
                  </pic:blipFill>
                  <pic:spPr bwMode="auto">
                    <a:xfrm>
                      <a:off x="0" y="0"/>
                      <a:ext cx="6115050" cy="1533525"/>
                    </a:xfrm>
                    <a:prstGeom prst="rect">
                      <a:avLst/>
                    </a:prstGeom>
                    <a:noFill/>
                    <a:ln w="9525">
                      <a:noFill/>
                      <a:miter lim="800000"/>
                      <a:headEnd/>
                      <a:tailEnd/>
                    </a:ln>
                  </pic:spPr>
                </pic:pic>
              </a:graphicData>
            </a:graphic>
          </wp:inline>
        </w:drawing>
      </w:r>
    </w:p>
    <w:p w:rsidR="00AE50B1" w:rsidRDefault="00AE50B1" w:rsidP="00AE50B1"/>
    <w:p w:rsidR="00AE50B1" w:rsidRDefault="00AE50B1" w:rsidP="00AE50B1">
      <w:pPr>
        <w:jc w:val="center"/>
        <w:rPr>
          <w:b/>
          <w:sz w:val="32"/>
          <w:szCs w:val="32"/>
        </w:rPr>
      </w:pPr>
      <w:r w:rsidRPr="00AE50B1">
        <w:rPr>
          <w:b/>
          <w:sz w:val="32"/>
          <w:szCs w:val="32"/>
        </w:rPr>
        <w:lastRenderedPageBreak/>
        <w:t>Table of Contents</w:t>
      </w:r>
    </w:p>
    <w:p w:rsidR="005B6869" w:rsidRDefault="005B6869" w:rsidP="00AE50B1">
      <w:pPr>
        <w:rPr>
          <w:b/>
        </w:rPr>
      </w:pPr>
    </w:p>
    <w:p w:rsidR="00AE50B1" w:rsidRDefault="00AE50B1" w:rsidP="00AE50B1">
      <w:pPr>
        <w:rPr>
          <w:b/>
        </w:rPr>
      </w:pPr>
      <w:r>
        <w:rPr>
          <w:b/>
        </w:rPr>
        <w:t>Part I</w:t>
      </w:r>
      <w:r>
        <w:rPr>
          <w:b/>
        </w:rPr>
        <w:tab/>
      </w:r>
      <w:r>
        <w:rPr>
          <w:b/>
        </w:rPr>
        <w:tab/>
        <w:t>Introduction</w:t>
      </w:r>
    </w:p>
    <w:p w:rsidR="00047FEA" w:rsidRDefault="001A6110" w:rsidP="00AE50B1">
      <w:r>
        <w:rPr>
          <w:b/>
        </w:rPr>
        <w:tab/>
      </w:r>
      <w:r>
        <w:rPr>
          <w:b/>
        </w:rPr>
        <w:tab/>
      </w:r>
      <w:r>
        <w:rPr>
          <w:b/>
        </w:rPr>
        <w:tab/>
      </w:r>
      <w:r w:rsidR="00047FEA">
        <w:t xml:space="preserve">Report </w:t>
      </w:r>
      <w:r w:rsidR="005161FE">
        <w:t>Objectives . . .</w:t>
      </w:r>
      <w:r w:rsidR="003E195E">
        <w:t xml:space="preserve"> . . . . . . . . . . . . . . . . . . . . .</w:t>
      </w:r>
      <w:r w:rsidR="005161FE">
        <w:t xml:space="preserve"> . . . </w:t>
      </w:r>
      <w:r w:rsidR="00703E41">
        <w:tab/>
        <w:t xml:space="preserve">3 </w:t>
      </w:r>
    </w:p>
    <w:p w:rsidR="001A6110" w:rsidRPr="001A6110" w:rsidRDefault="00047FEA" w:rsidP="00AE50B1">
      <w:r>
        <w:tab/>
      </w:r>
      <w:r>
        <w:tab/>
      </w:r>
      <w:r>
        <w:tab/>
        <w:t xml:space="preserve">Report </w:t>
      </w:r>
      <w:r w:rsidR="005161FE">
        <w:t>Goals</w:t>
      </w:r>
      <w:r w:rsidR="003E195E">
        <w:t xml:space="preserve"> . . . . . . . . . . . . . . . . . . . . . . </w:t>
      </w:r>
      <w:r w:rsidR="002209DD">
        <w:t xml:space="preserve"> . .</w:t>
      </w:r>
      <w:r w:rsidR="00703E41">
        <w:t xml:space="preserve"> . . . . </w:t>
      </w:r>
      <w:r w:rsidR="002209DD">
        <w:t xml:space="preserve"> . .</w:t>
      </w:r>
      <w:r w:rsidR="00703E41">
        <w:tab/>
        <w:t>3</w:t>
      </w:r>
      <w:r w:rsidR="00703E41">
        <w:tab/>
        <w:t xml:space="preserve"> </w:t>
      </w:r>
    </w:p>
    <w:p w:rsidR="00AE50B1" w:rsidRDefault="00AE50B1" w:rsidP="00AE50B1">
      <w:r>
        <w:rPr>
          <w:b/>
        </w:rPr>
        <w:tab/>
      </w:r>
      <w:r>
        <w:rPr>
          <w:b/>
        </w:rPr>
        <w:tab/>
      </w:r>
      <w:r>
        <w:rPr>
          <w:b/>
        </w:rPr>
        <w:tab/>
      </w:r>
      <w:r>
        <w:t>Courses</w:t>
      </w:r>
      <w:r w:rsidR="003E195E">
        <w:t xml:space="preserve"> . . . . . . . . . . . . . . . . . . . . . . . . . . </w:t>
      </w:r>
      <w:r w:rsidR="002209DD">
        <w:t>. . . . . . . . .</w:t>
      </w:r>
      <w:r w:rsidR="002209DD">
        <w:tab/>
      </w:r>
      <w:r w:rsidR="00703E41">
        <w:t xml:space="preserve">3 </w:t>
      </w:r>
    </w:p>
    <w:p w:rsidR="00AE50B1" w:rsidRDefault="00AE50B1" w:rsidP="00AE50B1">
      <w:r>
        <w:tab/>
      </w:r>
      <w:r>
        <w:tab/>
      </w:r>
      <w:r>
        <w:tab/>
        <w:t>Course Descriptions</w:t>
      </w:r>
      <w:r w:rsidR="003E195E">
        <w:t xml:space="preserve"> . . . . . . . . . . . . . . . . . . . .</w:t>
      </w:r>
      <w:r w:rsidR="002209DD">
        <w:t xml:space="preserve"> . . . . .  </w:t>
      </w:r>
      <w:r w:rsidR="00703E41">
        <w:t>3</w:t>
      </w:r>
      <w:r w:rsidR="002209DD">
        <w:t xml:space="preserve"> </w:t>
      </w:r>
    </w:p>
    <w:p w:rsidR="00AE50B1" w:rsidRDefault="00AE50B1" w:rsidP="00AE50B1">
      <w:r>
        <w:tab/>
      </w:r>
      <w:r>
        <w:tab/>
      </w:r>
      <w:r>
        <w:tab/>
        <w:t>Course Methods</w:t>
      </w:r>
      <w:r w:rsidR="003E195E">
        <w:t xml:space="preserve"> . . . . . . . . . . . . . . . . . . . . . . . </w:t>
      </w:r>
      <w:r w:rsidR="002209DD">
        <w:t xml:space="preserve">. . . . . </w:t>
      </w:r>
      <w:r w:rsidR="00703E41">
        <w:tab/>
        <w:t xml:space="preserve">4 </w:t>
      </w:r>
    </w:p>
    <w:p w:rsidR="00AE50B1" w:rsidRDefault="00AE50B1" w:rsidP="00AE50B1">
      <w:r>
        <w:tab/>
      </w:r>
      <w:r>
        <w:tab/>
      </w:r>
      <w:r>
        <w:tab/>
        <w:t>Course Objectives</w:t>
      </w:r>
      <w:r w:rsidR="003E195E">
        <w:t xml:space="preserve"> . . . . . . . . . . . . . . . . . . . . . </w:t>
      </w:r>
      <w:r w:rsidR="002209DD">
        <w:t>. . . . . .</w:t>
      </w:r>
      <w:r w:rsidR="00703E41">
        <w:tab/>
        <w:t xml:space="preserve">4 </w:t>
      </w:r>
    </w:p>
    <w:p w:rsidR="00AE50B1" w:rsidRDefault="00AE50B1" w:rsidP="00AE50B1"/>
    <w:p w:rsidR="00AE50B1" w:rsidRPr="003E195E" w:rsidRDefault="00AE50B1" w:rsidP="00AE50B1">
      <w:r w:rsidRPr="003E2549">
        <w:rPr>
          <w:b/>
        </w:rPr>
        <w:t>Part II</w:t>
      </w:r>
      <w:r w:rsidRPr="003E2549">
        <w:rPr>
          <w:b/>
        </w:rPr>
        <w:tab/>
      </w:r>
      <w:r w:rsidRPr="003E2549">
        <w:rPr>
          <w:b/>
        </w:rPr>
        <w:tab/>
        <w:t>Pre-Test Information</w:t>
      </w:r>
      <w:r w:rsidR="002209DD">
        <w:rPr>
          <w:b/>
        </w:rPr>
        <w:t xml:space="preserve"> </w:t>
      </w:r>
      <w:r w:rsidR="002209DD">
        <w:t>. . . . . . . . . . . . . . . . . . . . . . .</w:t>
      </w:r>
      <w:r w:rsidR="002209DD">
        <w:rPr>
          <w:b/>
        </w:rPr>
        <w:t xml:space="preserve"> </w:t>
      </w:r>
      <w:r w:rsidR="002209DD">
        <w:t>. . . . . . .</w:t>
      </w:r>
      <w:r w:rsidR="00703E41" w:rsidRPr="00703E41">
        <w:t>4</w:t>
      </w:r>
    </w:p>
    <w:p w:rsidR="00AE50B1" w:rsidRDefault="00AE50B1" w:rsidP="00AE50B1"/>
    <w:p w:rsidR="00AE50B1" w:rsidRPr="003E195E" w:rsidRDefault="001A6110" w:rsidP="00AE50B1">
      <w:r>
        <w:rPr>
          <w:b/>
        </w:rPr>
        <w:t>Part III</w:t>
      </w:r>
      <w:r>
        <w:rPr>
          <w:b/>
        </w:rPr>
        <w:tab/>
      </w:r>
      <w:r w:rsidR="00AE50B1" w:rsidRPr="003E2549">
        <w:rPr>
          <w:b/>
        </w:rPr>
        <w:t>Post-Test Information</w:t>
      </w:r>
      <w:r w:rsidR="002209DD">
        <w:t xml:space="preserve"> . . . . . . . . . . . . . . . . . . . . . . . . . . . . . </w:t>
      </w:r>
      <w:r w:rsidR="00703E41">
        <w:t>5</w:t>
      </w:r>
    </w:p>
    <w:p w:rsidR="00AE50B1" w:rsidRDefault="00AE50B1" w:rsidP="00AE50B1"/>
    <w:p w:rsidR="00AE50B1" w:rsidRPr="003E195E" w:rsidRDefault="001A6110" w:rsidP="00AE50B1">
      <w:r>
        <w:rPr>
          <w:b/>
        </w:rPr>
        <w:t>Part IV</w:t>
      </w:r>
      <w:r>
        <w:rPr>
          <w:b/>
        </w:rPr>
        <w:tab/>
        <w:t xml:space="preserve">Semester </w:t>
      </w:r>
      <w:r w:rsidR="00AE50B1" w:rsidRPr="003E2549">
        <w:rPr>
          <w:b/>
        </w:rPr>
        <w:t>Outcomes</w:t>
      </w:r>
    </w:p>
    <w:p w:rsidR="00AE50B1" w:rsidRDefault="00AE50B1" w:rsidP="00AE50B1">
      <w:r>
        <w:tab/>
      </w:r>
      <w:r>
        <w:tab/>
      </w:r>
      <w:r>
        <w:tab/>
        <w:t>Math 101S</w:t>
      </w:r>
      <w:r w:rsidR="002209DD">
        <w:t xml:space="preserve"> . . . . . . . . . . . . . . . . . .</w:t>
      </w:r>
      <w:r w:rsidR="00703E41">
        <w:t xml:space="preserve"> . . . . . . . . . . . . . . .</w:t>
      </w:r>
      <w:r w:rsidR="00703E41">
        <w:tab/>
        <w:t xml:space="preserve">5 </w:t>
      </w:r>
    </w:p>
    <w:p w:rsidR="00AF6040" w:rsidRDefault="00AE50B1" w:rsidP="00AE50B1">
      <w:r>
        <w:tab/>
      </w:r>
      <w:r>
        <w:tab/>
      </w:r>
      <w:r>
        <w:tab/>
        <w:t>Math 102</w:t>
      </w:r>
      <w:r w:rsidR="002209DD">
        <w:t xml:space="preserve"> . . . . . . . . . . . . . . . . . . . . </w:t>
      </w:r>
      <w:r w:rsidR="00703E41">
        <w:t>. . . . . . . . . . . . . .</w:t>
      </w:r>
      <w:r w:rsidR="00703E41">
        <w:tab/>
        <w:t xml:space="preserve">11 </w:t>
      </w:r>
    </w:p>
    <w:p w:rsidR="00AF6040" w:rsidRDefault="00AF6040" w:rsidP="00AE50B1">
      <w:r>
        <w:tab/>
      </w:r>
      <w:r>
        <w:tab/>
      </w:r>
      <w:r>
        <w:tab/>
        <w:t>Math 108</w:t>
      </w:r>
    </w:p>
    <w:p w:rsidR="00AF6040" w:rsidRDefault="00AF6040" w:rsidP="00AE50B1">
      <w:r>
        <w:tab/>
      </w:r>
      <w:r>
        <w:tab/>
      </w:r>
      <w:r>
        <w:tab/>
        <w:t>Math 123</w:t>
      </w:r>
    </w:p>
    <w:p w:rsidR="00AE50B1" w:rsidRDefault="003E195E" w:rsidP="00AE50B1">
      <w:r>
        <w:tab/>
      </w:r>
      <w:r>
        <w:tab/>
      </w:r>
      <w:r>
        <w:tab/>
      </w:r>
      <w:r>
        <w:tab/>
      </w:r>
      <w:r>
        <w:tab/>
      </w:r>
      <w:r>
        <w:tab/>
      </w:r>
    </w:p>
    <w:p w:rsidR="00AE50B1" w:rsidRPr="003E2549" w:rsidRDefault="00AE50B1" w:rsidP="00AE50B1">
      <w:pPr>
        <w:rPr>
          <w:b/>
        </w:rPr>
      </w:pPr>
      <w:r w:rsidRPr="003E2549">
        <w:rPr>
          <w:b/>
        </w:rPr>
        <w:t>Part V</w:t>
      </w:r>
      <w:r w:rsidRPr="003E2549">
        <w:rPr>
          <w:b/>
        </w:rPr>
        <w:tab/>
      </w:r>
      <w:r w:rsidRPr="003E2549">
        <w:rPr>
          <w:b/>
        </w:rPr>
        <w:tab/>
        <w:t>Longitudinal Outcomes</w:t>
      </w:r>
    </w:p>
    <w:p w:rsidR="00AE50B1" w:rsidRDefault="00AE50B1" w:rsidP="00AE50B1">
      <w:r>
        <w:tab/>
      </w:r>
      <w:r>
        <w:tab/>
      </w:r>
      <w:r>
        <w:tab/>
        <w:t>Math 101S</w:t>
      </w:r>
      <w:r w:rsidR="002209DD">
        <w:t xml:space="preserve"> . . . . . . . . . . . . . . . . . . </w:t>
      </w:r>
      <w:r w:rsidR="00703E41">
        <w:t xml:space="preserve">. . . . . . . . . . . . . . </w:t>
      </w:r>
      <w:r w:rsidR="00703E41">
        <w:tab/>
        <w:t>16</w:t>
      </w:r>
    </w:p>
    <w:p w:rsidR="001A6110" w:rsidRDefault="00AE50B1" w:rsidP="00AE50B1">
      <w:r>
        <w:tab/>
      </w:r>
      <w:r>
        <w:tab/>
      </w:r>
      <w:r>
        <w:tab/>
        <w:t>Math 102</w:t>
      </w:r>
      <w:r w:rsidR="005161FE">
        <w:t xml:space="preserve"> – Math 123  . . . . . . . . . . . . .</w:t>
      </w:r>
      <w:r w:rsidR="00703E41">
        <w:t xml:space="preserve"> . . . . . . . . . . </w:t>
      </w:r>
      <w:r w:rsidR="00703E41">
        <w:tab/>
        <w:t>18</w:t>
      </w:r>
    </w:p>
    <w:p w:rsidR="00AE50B1" w:rsidRDefault="00AE50B1" w:rsidP="00AE50B1"/>
    <w:p w:rsidR="008436B5" w:rsidRDefault="001A6110" w:rsidP="00AE50B1">
      <w:r>
        <w:rPr>
          <w:b/>
        </w:rPr>
        <w:t>Part VI</w:t>
      </w:r>
      <w:r>
        <w:rPr>
          <w:b/>
        </w:rPr>
        <w:tab/>
      </w:r>
      <w:r w:rsidR="00AE50B1" w:rsidRPr="003E2549">
        <w:rPr>
          <w:b/>
        </w:rPr>
        <w:t>Recommendations</w:t>
      </w:r>
      <w:r w:rsidR="003E195E">
        <w:rPr>
          <w:b/>
        </w:rPr>
        <w:tab/>
      </w:r>
      <w:r w:rsidR="003E195E">
        <w:rPr>
          <w:b/>
        </w:rPr>
        <w:tab/>
      </w:r>
      <w:r w:rsidR="008436B5">
        <w:rPr>
          <w:b/>
        </w:rPr>
        <w:tab/>
      </w:r>
      <w:r w:rsidR="008436B5">
        <w:rPr>
          <w:b/>
        </w:rPr>
        <w:tab/>
      </w:r>
      <w:r w:rsidR="008436B5">
        <w:rPr>
          <w:b/>
        </w:rPr>
        <w:tab/>
      </w:r>
      <w:r w:rsidR="008436B5">
        <w:rPr>
          <w:b/>
        </w:rPr>
        <w:tab/>
      </w:r>
    </w:p>
    <w:p w:rsidR="008436B5" w:rsidRDefault="008436B5" w:rsidP="00AE50B1">
      <w:r>
        <w:tab/>
      </w:r>
      <w:r>
        <w:tab/>
      </w:r>
      <w:r>
        <w:tab/>
        <w:t>Previous</w:t>
      </w:r>
      <w:r w:rsidR="002209DD">
        <w:t xml:space="preserve"> </w:t>
      </w:r>
      <w:r w:rsidR="00703E41">
        <w:t xml:space="preserve">. . . . . . . . . . . . . . . . . . . . . . . . . . . . . . . . . . </w:t>
      </w:r>
      <w:r w:rsidR="00703E41">
        <w:tab/>
        <w:t>19</w:t>
      </w:r>
    </w:p>
    <w:p w:rsidR="00AE50B1" w:rsidRPr="003E2549" w:rsidRDefault="00703E41" w:rsidP="00AE50B1">
      <w:pPr>
        <w:rPr>
          <w:b/>
        </w:rPr>
      </w:pPr>
      <w:r>
        <w:tab/>
      </w:r>
      <w:r>
        <w:tab/>
      </w:r>
      <w:r>
        <w:tab/>
        <w:t>New</w:t>
      </w:r>
      <w:r w:rsidR="002209DD">
        <w:t xml:space="preserve"> . . . . . . . . . . . . . . . . . . . . . . . </w:t>
      </w:r>
      <w:r>
        <w:t xml:space="preserve">. . . . . . . . . . . . . . </w:t>
      </w:r>
      <w:r>
        <w:tab/>
        <w:t>21</w:t>
      </w:r>
      <w:r w:rsidR="003E195E">
        <w:rPr>
          <w:b/>
        </w:rPr>
        <w:tab/>
      </w:r>
      <w:r w:rsidR="003E195E">
        <w:rPr>
          <w:b/>
        </w:rPr>
        <w:tab/>
      </w:r>
      <w:r w:rsidR="003E195E">
        <w:rPr>
          <w:b/>
        </w:rPr>
        <w:tab/>
      </w:r>
      <w:r w:rsidR="003E195E">
        <w:rPr>
          <w:b/>
        </w:rPr>
        <w:tab/>
      </w:r>
    </w:p>
    <w:p w:rsidR="00AE50B1" w:rsidRPr="008436B5" w:rsidRDefault="00AE50B1" w:rsidP="00AE50B1">
      <w:r w:rsidRPr="003E2549">
        <w:rPr>
          <w:b/>
        </w:rPr>
        <w:t>Part VII</w:t>
      </w:r>
      <w:r w:rsidRPr="003E2549">
        <w:rPr>
          <w:b/>
        </w:rPr>
        <w:tab/>
        <w:t>Conclusions</w:t>
      </w:r>
      <w:r w:rsidR="008436B5">
        <w:tab/>
      </w:r>
      <w:r w:rsidR="002209DD">
        <w:t xml:space="preserve">. . . . . . . . . . . . . . . . . . . . . </w:t>
      </w:r>
      <w:r w:rsidR="00703E41">
        <w:t xml:space="preserve">. . . . . . . . . . . . . . </w:t>
      </w:r>
      <w:r w:rsidR="00703E41">
        <w:tab/>
        <w:t>21</w:t>
      </w:r>
      <w:r w:rsidR="008436B5">
        <w:tab/>
      </w:r>
      <w:r w:rsidR="008436B5">
        <w:tab/>
      </w:r>
      <w:r w:rsidR="008436B5">
        <w:tab/>
      </w:r>
      <w:r w:rsidR="008436B5">
        <w:tab/>
      </w:r>
      <w:r w:rsidR="008436B5">
        <w:tab/>
      </w:r>
    </w:p>
    <w:p w:rsidR="00AE50B1" w:rsidRPr="003E2549" w:rsidRDefault="00AE50B1" w:rsidP="00AE50B1">
      <w:pPr>
        <w:rPr>
          <w:b/>
        </w:rPr>
      </w:pPr>
      <w:r w:rsidRPr="003E2549">
        <w:rPr>
          <w:b/>
        </w:rPr>
        <w:t>Part VIII</w:t>
      </w:r>
      <w:r w:rsidRPr="003E2549">
        <w:rPr>
          <w:b/>
        </w:rPr>
        <w:tab/>
        <w:t>Appendices</w:t>
      </w:r>
    </w:p>
    <w:p w:rsidR="00AE50B1" w:rsidRDefault="003E195E" w:rsidP="00AE50B1">
      <w:r>
        <w:tab/>
      </w:r>
      <w:r>
        <w:tab/>
      </w:r>
      <w:r>
        <w:tab/>
        <w:t>Math 101S</w:t>
      </w:r>
      <w:r w:rsidR="002209DD">
        <w:t xml:space="preserve"> . . . . . . . . . . . . . . . . . .</w:t>
      </w:r>
      <w:r w:rsidR="00703E41">
        <w:t xml:space="preserve"> . . . . . . . . . . . . . .</w:t>
      </w:r>
      <w:r w:rsidR="00703E41">
        <w:tab/>
        <w:t>22</w:t>
      </w:r>
    </w:p>
    <w:p w:rsidR="003E195E" w:rsidRDefault="003E195E" w:rsidP="00AE50B1">
      <w:r>
        <w:tab/>
      </w:r>
      <w:r>
        <w:tab/>
      </w:r>
      <w:r>
        <w:tab/>
        <w:t>Math 102</w:t>
      </w:r>
      <w:r w:rsidR="002209DD">
        <w:t xml:space="preserve"> . . . . . . . . . . . . . . . . . . . . . . . . . . . . .</w:t>
      </w:r>
      <w:r w:rsidR="00703E41">
        <w:t xml:space="preserve"> . . . . .</w:t>
      </w:r>
      <w:r w:rsidR="00703E41">
        <w:tab/>
        <w:t>31</w:t>
      </w:r>
    </w:p>
    <w:p w:rsidR="00AF6040" w:rsidRDefault="00703E41" w:rsidP="00AE50B1">
      <w:r>
        <w:tab/>
      </w:r>
      <w:r>
        <w:tab/>
      </w:r>
      <w:r>
        <w:tab/>
      </w:r>
    </w:p>
    <w:p w:rsidR="00AF6040" w:rsidRDefault="00703E41" w:rsidP="00AE50B1">
      <w:r>
        <w:tab/>
      </w:r>
      <w:r>
        <w:tab/>
      </w:r>
      <w:r>
        <w:tab/>
      </w:r>
    </w:p>
    <w:p w:rsidR="00AF6040" w:rsidRDefault="00AF6040" w:rsidP="00AE50B1"/>
    <w:p w:rsidR="00AE50B1" w:rsidRDefault="00AE50B1" w:rsidP="00AE50B1"/>
    <w:p w:rsidR="00AE50B1" w:rsidRDefault="00AE50B1" w:rsidP="00AE50B1"/>
    <w:p w:rsidR="00AE50B1" w:rsidRDefault="00AE50B1" w:rsidP="00AE50B1"/>
    <w:p w:rsidR="00AE50B1" w:rsidRDefault="00AE50B1" w:rsidP="00AE50B1"/>
    <w:p w:rsidR="00AE50B1" w:rsidRDefault="00AE50B1" w:rsidP="00AE50B1"/>
    <w:p w:rsidR="00AE50B1" w:rsidRDefault="00AE50B1" w:rsidP="00AE50B1"/>
    <w:p w:rsidR="00AE50B1" w:rsidRDefault="00AE50B1" w:rsidP="00AE50B1"/>
    <w:p w:rsidR="00AE50B1" w:rsidRDefault="00AE50B1" w:rsidP="00AE50B1"/>
    <w:p w:rsidR="00AE50B1" w:rsidRDefault="00AE50B1" w:rsidP="00AE50B1"/>
    <w:p w:rsidR="00AA06E1" w:rsidRDefault="00AA06E1" w:rsidP="00AE50B1"/>
    <w:p w:rsidR="00D336BE" w:rsidRPr="00047FEA" w:rsidRDefault="00047FEA" w:rsidP="00AE50B1">
      <w:pPr>
        <w:rPr>
          <w:b/>
        </w:rPr>
      </w:pPr>
      <w:r w:rsidRPr="00047FEA">
        <w:rPr>
          <w:b/>
        </w:rPr>
        <w:lastRenderedPageBreak/>
        <w:t>Part I</w:t>
      </w:r>
      <w:r w:rsidR="002E36C7">
        <w:rPr>
          <w:b/>
        </w:rPr>
        <w:t>:</w:t>
      </w:r>
      <w:r w:rsidRPr="00047FEA">
        <w:rPr>
          <w:b/>
        </w:rPr>
        <w:t xml:space="preserve"> Introduction</w:t>
      </w:r>
    </w:p>
    <w:p w:rsidR="00047FEA" w:rsidRDefault="00047FEA" w:rsidP="00AE50B1"/>
    <w:p w:rsidR="001A6110" w:rsidRPr="00FB3309" w:rsidRDefault="004F033B" w:rsidP="003E2549">
      <w:pPr>
        <w:pStyle w:val="Default"/>
        <w:rPr>
          <w:rStyle w:val="Heading2Char"/>
          <w:rFonts w:ascii="Times New Roman" w:eastAsia="Calibri" w:hAnsi="Times New Roman" w:cs="Times New Roman"/>
          <w:b w:val="0"/>
          <w:i w:val="0"/>
          <w:sz w:val="24"/>
          <w:szCs w:val="24"/>
        </w:rPr>
      </w:pPr>
      <w:bookmarkStart w:id="1" w:name="_Toc282766037"/>
      <w:r>
        <w:rPr>
          <w:rStyle w:val="Heading2Char"/>
          <w:rFonts w:ascii="Times New Roman" w:eastAsia="Calibri" w:hAnsi="Times New Roman" w:cs="Times New Roman"/>
          <w:i w:val="0"/>
          <w:sz w:val="24"/>
          <w:szCs w:val="24"/>
        </w:rPr>
        <w:t>Objectives</w:t>
      </w:r>
      <w:r w:rsidR="00FB3309">
        <w:rPr>
          <w:rStyle w:val="Heading2Char"/>
          <w:rFonts w:ascii="Times New Roman" w:eastAsia="Calibri" w:hAnsi="Times New Roman" w:cs="Times New Roman"/>
          <w:i w:val="0"/>
          <w:sz w:val="24"/>
          <w:szCs w:val="24"/>
        </w:rPr>
        <w:t>:</w:t>
      </w:r>
      <w:r w:rsidR="004671BE">
        <w:rPr>
          <w:rStyle w:val="Heading2Char"/>
          <w:rFonts w:ascii="Times New Roman" w:eastAsia="Calibri" w:hAnsi="Times New Roman" w:cs="Times New Roman"/>
          <w:b w:val="0"/>
          <w:i w:val="0"/>
          <w:sz w:val="24"/>
          <w:szCs w:val="24"/>
        </w:rPr>
        <w:t xml:space="preserve">  The objective</w:t>
      </w:r>
      <w:r w:rsidR="00FB3309">
        <w:rPr>
          <w:rStyle w:val="Heading2Char"/>
          <w:rFonts w:ascii="Times New Roman" w:eastAsia="Calibri" w:hAnsi="Times New Roman" w:cs="Times New Roman"/>
          <w:b w:val="0"/>
          <w:i w:val="0"/>
          <w:sz w:val="24"/>
          <w:szCs w:val="24"/>
        </w:rPr>
        <w:t xml:space="preserve"> of this semester report is to assess the continuing progress of Math 101S, Math 102</w:t>
      </w:r>
      <w:r w:rsidR="004671BE">
        <w:rPr>
          <w:rStyle w:val="Heading2Char"/>
          <w:rFonts w:ascii="Times New Roman" w:eastAsia="Calibri" w:hAnsi="Times New Roman" w:cs="Times New Roman"/>
          <w:b w:val="0"/>
          <w:i w:val="0"/>
          <w:sz w:val="24"/>
          <w:szCs w:val="24"/>
        </w:rPr>
        <w:t>,</w:t>
      </w:r>
      <w:r w:rsidR="00FB3309">
        <w:rPr>
          <w:rStyle w:val="Heading2Char"/>
          <w:rFonts w:ascii="Times New Roman" w:eastAsia="Calibri" w:hAnsi="Times New Roman" w:cs="Times New Roman"/>
          <w:b w:val="0"/>
          <w:i w:val="0"/>
          <w:sz w:val="24"/>
          <w:szCs w:val="24"/>
        </w:rPr>
        <w:t xml:space="preserve"> and Math 123.  T</w:t>
      </w:r>
      <w:r w:rsidR="002C3BC3">
        <w:rPr>
          <w:rStyle w:val="Heading2Char"/>
          <w:rFonts w:ascii="Times New Roman" w:eastAsia="Calibri" w:hAnsi="Times New Roman" w:cs="Times New Roman"/>
          <w:b w:val="0"/>
          <w:i w:val="0"/>
          <w:sz w:val="24"/>
          <w:szCs w:val="24"/>
        </w:rPr>
        <w:t>he report will</w:t>
      </w:r>
      <w:r w:rsidR="00FB3309">
        <w:rPr>
          <w:rStyle w:val="Heading2Char"/>
          <w:rFonts w:ascii="Times New Roman" w:eastAsia="Calibri" w:hAnsi="Times New Roman" w:cs="Times New Roman"/>
          <w:b w:val="0"/>
          <w:i w:val="0"/>
          <w:sz w:val="24"/>
          <w:szCs w:val="24"/>
        </w:rPr>
        <w:t xml:space="preserve"> analyze correlations between pre-tes</w:t>
      </w:r>
      <w:r w:rsidR="004671BE">
        <w:rPr>
          <w:rStyle w:val="Heading2Char"/>
          <w:rFonts w:ascii="Times New Roman" w:eastAsia="Calibri" w:hAnsi="Times New Roman" w:cs="Times New Roman"/>
          <w:b w:val="0"/>
          <w:i w:val="0"/>
          <w:sz w:val="24"/>
          <w:szCs w:val="24"/>
        </w:rPr>
        <w:t>ts, post-tests and the students’</w:t>
      </w:r>
      <w:r w:rsidR="00FB3309">
        <w:rPr>
          <w:rStyle w:val="Heading2Char"/>
          <w:rFonts w:ascii="Times New Roman" w:eastAsia="Calibri" w:hAnsi="Times New Roman" w:cs="Times New Roman"/>
          <w:b w:val="0"/>
          <w:i w:val="0"/>
          <w:sz w:val="24"/>
          <w:szCs w:val="24"/>
        </w:rPr>
        <w:t xml:space="preserve"> final grades. </w:t>
      </w:r>
      <w:r w:rsidR="002C3BC3">
        <w:rPr>
          <w:rStyle w:val="Heading2Char"/>
          <w:rFonts w:ascii="Times New Roman" w:eastAsia="Calibri" w:hAnsi="Times New Roman" w:cs="Times New Roman"/>
          <w:b w:val="0"/>
          <w:i w:val="0"/>
          <w:sz w:val="24"/>
          <w:szCs w:val="24"/>
        </w:rPr>
        <w:t xml:space="preserve"> Statistics will be used</w:t>
      </w:r>
      <w:r w:rsidR="00FB3309">
        <w:rPr>
          <w:rStyle w:val="Heading2Char"/>
          <w:rFonts w:ascii="Times New Roman" w:eastAsia="Calibri" w:hAnsi="Times New Roman" w:cs="Times New Roman"/>
          <w:b w:val="0"/>
          <w:i w:val="0"/>
          <w:sz w:val="24"/>
          <w:szCs w:val="24"/>
        </w:rPr>
        <w:t xml:space="preserve"> to correlate student outcomes in pre-requisite course</w:t>
      </w:r>
      <w:r w:rsidR="002C3BC3">
        <w:rPr>
          <w:rStyle w:val="Heading2Char"/>
          <w:rFonts w:ascii="Times New Roman" w:eastAsia="Calibri" w:hAnsi="Times New Roman" w:cs="Times New Roman"/>
          <w:b w:val="0"/>
          <w:i w:val="0"/>
          <w:sz w:val="24"/>
          <w:szCs w:val="24"/>
        </w:rPr>
        <w:t>s</w:t>
      </w:r>
      <w:r w:rsidR="00FB3309">
        <w:rPr>
          <w:rStyle w:val="Heading2Char"/>
          <w:rFonts w:ascii="Times New Roman" w:eastAsia="Calibri" w:hAnsi="Times New Roman" w:cs="Times New Roman"/>
          <w:b w:val="0"/>
          <w:i w:val="0"/>
          <w:sz w:val="24"/>
          <w:szCs w:val="24"/>
        </w:rPr>
        <w:t xml:space="preserve"> to t</w:t>
      </w:r>
      <w:r w:rsidR="002209DD">
        <w:rPr>
          <w:rStyle w:val="Heading2Char"/>
          <w:rFonts w:ascii="Times New Roman" w:eastAsia="Calibri" w:hAnsi="Times New Roman" w:cs="Times New Roman"/>
          <w:b w:val="0"/>
          <w:i w:val="0"/>
          <w:sz w:val="24"/>
          <w:szCs w:val="24"/>
        </w:rPr>
        <w:t xml:space="preserve">he next sequential math courses (Math 102 and Math 123).  </w:t>
      </w:r>
      <w:r w:rsidR="002C3BC3">
        <w:rPr>
          <w:rStyle w:val="Heading2Char"/>
          <w:rFonts w:ascii="Times New Roman" w:eastAsia="Calibri" w:hAnsi="Times New Roman" w:cs="Times New Roman"/>
          <w:b w:val="0"/>
          <w:i w:val="0"/>
          <w:sz w:val="24"/>
          <w:szCs w:val="24"/>
        </w:rPr>
        <w:t xml:space="preserve"> This report will </w:t>
      </w:r>
      <w:r w:rsidR="002209DD">
        <w:rPr>
          <w:rStyle w:val="Heading2Char"/>
          <w:rFonts w:ascii="Times New Roman" w:eastAsia="Calibri" w:hAnsi="Times New Roman" w:cs="Times New Roman"/>
          <w:b w:val="0"/>
          <w:i w:val="0"/>
          <w:sz w:val="24"/>
          <w:szCs w:val="24"/>
        </w:rPr>
        <w:t xml:space="preserve">also </w:t>
      </w:r>
      <w:r w:rsidR="002C3BC3">
        <w:rPr>
          <w:rStyle w:val="Heading2Char"/>
          <w:rFonts w:ascii="Times New Roman" w:eastAsia="Calibri" w:hAnsi="Times New Roman" w:cs="Times New Roman"/>
          <w:b w:val="0"/>
          <w:i w:val="0"/>
          <w:sz w:val="24"/>
          <w:szCs w:val="24"/>
        </w:rPr>
        <w:t xml:space="preserve">examine pass/fail </w:t>
      </w:r>
      <w:r w:rsidR="00084EF6">
        <w:rPr>
          <w:rStyle w:val="Heading2Char"/>
          <w:rFonts w:ascii="Times New Roman" w:eastAsia="Calibri" w:hAnsi="Times New Roman" w:cs="Times New Roman"/>
          <w:b w:val="0"/>
          <w:i w:val="0"/>
          <w:sz w:val="24"/>
          <w:szCs w:val="24"/>
        </w:rPr>
        <w:t>rates of students placing into these</w:t>
      </w:r>
      <w:r w:rsidR="002C3BC3">
        <w:rPr>
          <w:rStyle w:val="Heading2Char"/>
          <w:rFonts w:ascii="Times New Roman" w:eastAsia="Calibri" w:hAnsi="Times New Roman" w:cs="Times New Roman"/>
          <w:b w:val="0"/>
          <w:i w:val="0"/>
          <w:sz w:val="24"/>
          <w:szCs w:val="24"/>
        </w:rPr>
        <w:t xml:space="preserve"> course</w:t>
      </w:r>
      <w:r w:rsidR="00084EF6">
        <w:rPr>
          <w:rStyle w:val="Heading2Char"/>
          <w:rFonts w:ascii="Times New Roman" w:eastAsia="Calibri" w:hAnsi="Times New Roman" w:cs="Times New Roman"/>
          <w:b w:val="0"/>
          <w:i w:val="0"/>
          <w:sz w:val="24"/>
          <w:szCs w:val="24"/>
        </w:rPr>
        <w:t xml:space="preserve">s with Accuplacer scores, </w:t>
      </w:r>
      <w:r w:rsidR="002C3BC3">
        <w:rPr>
          <w:rStyle w:val="Heading2Char"/>
          <w:rFonts w:ascii="Times New Roman" w:eastAsia="Calibri" w:hAnsi="Times New Roman" w:cs="Times New Roman"/>
          <w:b w:val="0"/>
          <w:i w:val="0"/>
          <w:sz w:val="24"/>
          <w:szCs w:val="24"/>
        </w:rPr>
        <w:t xml:space="preserve">students </w:t>
      </w:r>
      <w:r w:rsidR="00084EF6">
        <w:rPr>
          <w:rStyle w:val="Heading2Char"/>
          <w:rFonts w:ascii="Times New Roman" w:eastAsia="Calibri" w:hAnsi="Times New Roman" w:cs="Times New Roman"/>
          <w:b w:val="0"/>
          <w:i w:val="0"/>
          <w:sz w:val="24"/>
          <w:szCs w:val="24"/>
        </w:rPr>
        <w:t xml:space="preserve">that are </w:t>
      </w:r>
      <w:r w:rsidR="002C3BC3">
        <w:rPr>
          <w:rStyle w:val="Heading2Char"/>
          <w:rFonts w:ascii="Times New Roman" w:eastAsia="Calibri" w:hAnsi="Times New Roman" w:cs="Times New Roman"/>
          <w:b w:val="0"/>
          <w:i w:val="0"/>
          <w:sz w:val="24"/>
          <w:szCs w:val="24"/>
        </w:rPr>
        <w:t>repeating a course</w:t>
      </w:r>
      <w:r w:rsidR="00E40C6F">
        <w:rPr>
          <w:rStyle w:val="Heading2Char"/>
          <w:rFonts w:ascii="Times New Roman" w:eastAsia="Calibri" w:hAnsi="Times New Roman" w:cs="Times New Roman"/>
          <w:b w:val="0"/>
          <w:i w:val="0"/>
          <w:sz w:val="24"/>
          <w:szCs w:val="24"/>
        </w:rPr>
        <w:t>,</w:t>
      </w:r>
      <w:r w:rsidR="002C3BC3">
        <w:rPr>
          <w:rStyle w:val="Heading2Char"/>
          <w:rFonts w:ascii="Times New Roman" w:eastAsia="Calibri" w:hAnsi="Times New Roman" w:cs="Times New Roman"/>
          <w:b w:val="0"/>
          <w:i w:val="0"/>
          <w:sz w:val="24"/>
          <w:szCs w:val="24"/>
        </w:rPr>
        <w:t xml:space="preserve"> or in the</w:t>
      </w:r>
      <w:r w:rsidR="00E40C6F">
        <w:rPr>
          <w:rStyle w:val="Heading2Char"/>
          <w:rFonts w:ascii="Times New Roman" w:eastAsia="Calibri" w:hAnsi="Times New Roman" w:cs="Times New Roman"/>
          <w:b w:val="0"/>
          <w:i w:val="0"/>
          <w:sz w:val="24"/>
          <w:szCs w:val="24"/>
        </w:rPr>
        <w:t xml:space="preserve"> case of Math 102 and Math 123,</w:t>
      </w:r>
      <w:r w:rsidR="004671BE">
        <w:rPr>
          <w:rStyle w:val="Heading2Char"/>
          <w:rFonts w:ascii="Times New Roman" w:eastAsia="Calibri" w:hAnsi="Times New Roman" w:cs="Times New Roman"/>
          <w:b w:val="0"/>
          <w:i w:val="0"/>
          <w:sz w:val="24"/>
          <w:szCs w:val="24"/>
        </w:rPr>
        <w:t xml:space="preserve"> students’</w:t>
      </w:r>
      <w:r w:rsidR="00084EF6">
        <w:rPr>
          <w:rStyle w:val="Heading2Char"/>
          <w:rFonts w:ascii="Times New Roman" w:eastAsia="Calibri" w:hAnsi="Times New Roman" w:cs="Times New Roman"/>
          <w:b w:val="0"/>
          <w:i w:val="0"/>
          <w:sz w:val="24"/>
          <w:szCs w:val="24"/>
        </w:rPr>
        <w:t xml:space="preserve"> </w:t>
      </w:r>
      <w:r w:rsidR="002C3BC3">
        <w:rPr>
          <w:rStyle w:val="Heading2Char"/>
          <w:rFonts w:ascii="Times New Roman" w:eastAsia="Calibri" w:hAnsi="Times New Roman" w:cs="Times New Roman"/>
          <w:b w:val="0"/>
          <w:i w:val="0"/>
          <w:sz w:val="24"/>
          <w:szCs w:val="24"/>
        </w:rPr>
        <w:t xml:space="preserve">successful completion of prerequisite </w:t>
      </w:r>
      <w:r w:rsidR="00084EF6">
        <w:rPr>
          <w:rStyle w:val="Heading2Char"/>
          <w:rFonts w:ascii="Times New Roman" w:eastAsia="Calibri" w:hAnsi="Times New Roman" w:cs="Times New Roman"/>
          <w:b w:val="0"/>
          <w:i w:val="0"/>
          <w:sz w:val="24"/>
          <w:szCs w:val="24"/>
        </w:rPr>
        <w:t>math courses.  Additionally, t</w:t>
      </w:r>
      <w:r w:rsidR="002C3BC3">
        <w:rPr>
          <w:rStyle w:val="Heading2Char"/>
          <w:rFonts w:ascii="Times New Roman" w:eastAsia="Calibri" w:hAnsi="Times New Roman" w:cs="Times New Roman"/>
          <w:b w:val="0"/>
          <w:i w:val="0"/>
          <w:sz w:val="24"/>
          <w:szCs w:val="24"/>
        </w:rPr>
        <w:t xml:space="preserve">he report will </w:t>
      </w:r>
      <w:r w:rsidR="00084EF6">
        <w:rPr>
          <w:rStyle w:val="Heading2Char"/>
          <w:rFonts w:ascii="Times New Roman" w:eastAsia="Calibri" w:hAnsi="Times New Roman" w:cs="Times New Roman"/>
          <w:b w:val="0"/>
          <w:i w:val="0"/>
          <w:sz w:val="24"/>
          <w:szCs w:val="24"/>
        </w:rPr>
        <w:t>examine any</w:t>
      </w:r>
      <w:r w:rsidR="002C3BC3">
        <w:rPr>
          <w:rStyle w:val="Heading2Char"/>
          <w:rFonts w:ascii="Times New Roman" w:eastAsia="Calibri" w:hAnsi="Times New Roman" w:cs="Times New Roman"/>
          <w:b w:val="0"/>
          <w:i w:val="0"/>
          <w:sz w:val="24"/>
          <w:szCs w:val="24"/>
        </w:rPr>
        <w:t xml:space="preserve"> trends i</w:t>
      </w:r>
      <w:r w:rsidR="00E40C6F">
        <w:rPr>
          <w:rStyle w:val="Heading2Char"/>
          <w:rFonts w:ascii="Times New Roman" w:eastAsia="Calibri" w:hAnsi="Times New Roman" w:cs="Times New Roman"/>
          <w:b w:val="0"/>
          <w:i w:val="0"/>
          <w:sz w:val="24"/>
          <w:szCs w:val="24"/>
        </w:rPr>
        <w:t>n the learning outcomes that</w:t>
      </w:r>
      <w:r w:rsidR="00967EFB">
        <w:rPr>
          <w:rStyle w:val="Heading2Char"/>
          <w:rFonts w:ascii="Times New Roman" w:eastAsia="Calibri" w:hAnsi="Times New Roman" w:cs="Times New Roman"/>
          <w:b w:val="0"/>
          <w:i w:val="0"/>
          <w:sz w:val="24"/>
          <w:szCs w:val="24"/>
        </w:rPr>
        <w:t xml:space="preserve"> adversely affect the University’s retention goals.</w:t>
      </w:r>
    </w:p>
    <w:p w:rsidR="001A6110" w:rsidRDefault="001A6110" w:rsidP="003E2549">
      <w:pPr>
        <w:pStyle w:val="Default"/>
        <w:rPr>
          <w:rStyle w:val="Heading2Char"/>
          <w:rFonts w:ascii="Times New Roman" w:eastAsia="Calibri" w:hAnsi="Times New Roman" w:cs="Times New Roman"/>
          <w:i w:val="0"/>
          <w:sz w:val="24"/>
          <w:szCs w:val="24"/>
        </w:rPr>
      </w:pPr>
    </w:p>
    <w:p w:rsidR="001A6110" w:rsidRPr="002C3BC3" w:rsidRDefault="004F033B" w:rsidP="003E2549">
      <w:pPr>
        <w:pStyle w:val="Default"/>
        <w:rPr>
          <w:rStyle w:val="Heading2Char"/>
          <w:rFonts w:ascii="Times New Roman" w:eastAsia="Calibri" w:hAnsi="Times New Roman" w:cs="Times New Roman"/>
          <w:b w:val="0"/>
          <w:i w:val="0"/>
          <w:sz w:val="24"/>
          <w:szCs w:val="24"/>
        </w:rPr>
      </w:pPr>
      <w:r>
        <w:rPr>
          <w:rStyle w:val="Heading2Char"/>
          <w:rFonts w:ascii="Times New Roman" w:eastAsia="Calibri" w:hAnsi="Times New Roman" w:cs="Times New Roman"/>
          <w:i w:val="0"/>
          <w:sz w:val="24"/>
          <w:szCs w:val="24"/>
        </w:rPr>
        <w:t>Goals</w:t>
      </w:r>
      <w:r w:rsidR="00FB3309">
        <w:rPr>
          <w:rStyle w:val="Heading2Char"/>
          <w:rFonts w:ascii="Times New Roman" w:eastAsia="Calibri" w:hAnsi="Times New Roman" w:cs="Times New Roman"/>
          <w:i w:val="0"/>
          <w:sz w:val="24"/>
          <w:szCs w:val="24"/>
        </w:rPr>
        <w:t>:</w:t>
      </w:r>
      <w:r w:rsidR="002C3BC3">
        <w:rPr>
          <w:rStyle w:val="Heading2Char"/>
          <w:rFonts w:ascii="Times New Roman" w:eastAsia="Calibri" w:hAnsi="Times New Roman" w:cs="Times New Roman"/>
          <w:i w:val="0"/>
          <w:sz w:val="24"/>
          <w:szCs w:val="24"/>
        </w:rPr>
        <w:t xml:space="preserve"> </w:t>
      </w:r>
      <w:r>
        <w:rPr>
          <w:rStyle w:val="Heading2Char"/>
          <w:rFonts w:ascii="Times New Roman" w:eastAsia="Calibri" w:hAnsi="Times New Roman" w:cs="Times New Roman"/>
          <w:b w:val="0"/>
          <w:i w:val="0"/>
          <w:sz w:val="24"/>
          <w:szCs w:val="24"/>
        </w:rPr>
        <w:t>The goal</w:t>
      </w:r>
      <w:r w:rsidR="00E40C6F">
        <w:rPr>
          <w:rStyle w:val="Heading2Char"/>
          <w:rFonts w:ascii="Times New Roman" w:eastAsia="Calibri" w:hAnsi="Times New Roman" w:cs="Times New Roman"/>
          <w:b w:val="0"/>
          <w:i w:val="0"/>
          <w:sz w:val="24"/>
          <w:szCs w:val="24"/>
        </w:rPr>
        <w:t>s of this report are twofold.   T</w:t>
      </w:r>
      <w:r w:rsidR="002C3BC3">
        <w:rPr>
          <w:rStyle w:val="Heading2Char"/>
          <w:rFonts w:ascii="Times New Roman" w:eastAsia="Calibri" w:hAnsi="Times New Roman" w:cs="Times New Roman"/>
          <w:b w:val="0"/>
          <w:i w:val="0"/>
          <w:sz w:val="24"/>
          <w:szCs w:val="24"/>
        </w:rPr>
        <w:t xml:space="preserve">he first </w:t>
      </w:r>
      <w:r w:rsidR="00E40C6F">
        <w:rPr>
          <w:rStyle w:val="Heading2Char"/>
          <w:rFonts w:ascii="Times New Roman" w:eastAsia="Calibri" w:hAnsi="Times New Roman" w:cs="Times New Roman"/>
          <w:b w:val="0"/>
          <w:i w:val="0"/>
          <w:sz w:val="24"/>
          <w:szCs w:val="24"/>
        </w:rPr>
        <w:t>goal is</w:t>
      </w:r>
      <w:r w:rsidR="002C3BC3">
        <w:rPr>
          <w:rStyle w:val="Heading2Char"/>
          <w:rFonts w:ascii="Times New Roman" w:eastAsia="Calibri" w:hAnsi="Times New Roman" w:cs="Times New Roman"/>
          <w:b w:val="0"/>
          <w:i w:val="0"/>
          <w:sz w:val="24"/>
          <w:szCs w:val="24"/>
        </w:rPr>
        <w:t xml:space="preserve"> to continuously examine and re-examine Math 101S to ensure that it is meeting the needs of our incoming student population each semester so that the Univers</w:t>
      </w:r>
      <w:r w:rsidR="00084EF6">
        <w:rPr>
          <w:rStyle w:val="Heading2Char"/>
          <w:rFonts w:ascii="Times New Roman" w:eastAsia="Calibri" w:hAnsi="Times New Roman" w:cs="Times New Roman"/>
          <w:b w:val="0"/>
          <w:i w:val="0"/>
          <w:sz w:val="24"/>
          <w:szCs w:val="24"/>
        </w:rPr>
        <w:t>ity goals of retention are met without compromising the course</w:t>
      </w:r>
      <w:r w:rsidR="004671BE">
        <w:rPr>
          <w:rStyle w:val="Heading2Char"/>
          <w:rFonts w:ascii="Times New Roman" w:eastAsia="Calibri" w:hAnsi="Times New Roman" w:cs="Times New Roman"/>
          <w:b w:val="0"/>
          <w:i w:val="0"/>
          <w:sz w:val="24"/>
          <w:szCs w:val="24"/>
        </w:rPr>
        <w:t xml:space="preserve"> integrity or the course content</w:t>
      </w:r>
      <w:r w:rsidR="00084EF6">
        <w:rPr>
          <w:rStyle w:val="Heading2Char"/>
          <w:rFonts w:ascii="Times New Roman" w:eastAsia="Calibri" w:hAnsi="Times New Roman" w:cs="Times New Roman"/>
          <w:b w:val="0"/>
          <w:i w:val="0"/>
          <w:sz w:val="24"/>
          <w:szCs w:val="24"/>
        </w:rPr>
        <w:t xml:space="preserve"> standards.</w:t>
      </w:r>
      <w:r w:rsidR="002C3BC3">
        <w:rPr>
          <w:rStyle w:val="Heading2Char"/>
          <w:rFonts w:ascii="Times New Roman" w:eastAsia="Calibri" w:hAnsi="Times New Roman" w:cs="Times New Roman"/>
          <w:b w:val="0"/>
          <w:i w:val="0"/>
          <w:sz w:val="24"/>
          <w:szCs w:val="24"/>
        </w:rPr>
        <w:t xml:space="preserve"> Secondly</w:t>
      </w:r>
      <w:r w:rsidR="00E40C6F">
        <w:rPr>
          <w:rStyle w:val="Heading2Char"/>
          <w:rFonts w:ascii="Times New Roman" w:eastAsia="Calibri" w:hAnsi="Times New Roman" w:cs="Times New Roman"/>
          <w:b w:val="0"/>
          <w:i w:val="0"/>
          <w:sz w:val="24"/>
          <w:szCs w:val="24"/>
        </w:rPr>
        <w:t>, this</w:t>
      </w:r>
      <w:r w:rsidR="00047FEA">
        <w:rPr>
          <w:rStyle w:val="Heading2Char"/>
          <w:rFonts w:ascii="Times New Roman" w:eastAsia="Calibri" w:hAnsi="Times New Roman" w:cs="Times New Roman"/>
          <w:b w:val="0"/>
          <w:i w:val="0"/>
          <w:sz w:val="24"/>
          <w:szCs w:val="24"/>
        </w:rPr>
        <w:t xml:space="preserve"> report examines th</w:t>
      </w:r>
      <w:r w:rsidR="00084EF6">
        <w:rPr>
          <w:rStyle w:val="Heading2Char"/>
          <w:rFonts w:ascii="Times New Roman" w:eastAsia="Calibri" w:hAnsi="Times New Roman" w:cs="Times New Roman"/>
          <w:b w:val="0"/>
          <w:i w:val="0"/>
          <w:sz w:val="24"/>
          <w:szCs w:val="24"/>
        </w:rPr>
        <w:t>e content and rigor of</w:t>
      </w:r>
      <w:r w:rsidR="00AA06E1">
        <w:rPr>
          <w:rStyle w:val="Heading2Char"/>
          <w:rFonts w:ascii="Times New Roman" w:eastAsia="Calibri" w:hAnsi="Times New Roman" w:cs="Times New Roman"/>
          <w:b w:val="0"/>
          <w:i w:val="0"/>
          <w:sz w:val="24"/>
          <w:szCs w:val="24"/>
        </w:rPr>
        <w:t xml:space="preserve"> Math 102</w:t>
      </w:r>
      <w:r w:rsidR="00047FEA">
        <w:rPr>
          <w:rStyle w:val="Heading2Char"/>
          <w:rFonts w:ascii="Times New Roman" w:eastAsia="Calibri" w:hAnsi="Times New Roman" w:cs="Times New Roman"/>
          <w:b w:val="0"/>
          <w:i w:val="0"/>
          <w:sz w:val="24"/>
          <w:szCs w:val="24"/>
        </w:rPr>
        <w:t xml:space="preserve"> so that our students choosing to major in a m</w:t>
      </w:r>
      <w:r w:rsidR="00084EF6">
        <w:rPr>
          <w:rStyle w:val="Heading2Char"/>
          <w:rFonts w:ascii="Times New Roman" w:eastAsia="Calibri" w:hAnsi="Times New Roman" w:cs="Times New Roman"/>
          <w:b w:val="0"/>
          <w:i w:val="0"/>
          <w:sz w:val="24"/>
          <w:szCs w:val="24"/>
        </w:rPr>
        <w:t>ath or science are prepared not only with the proper prerequisites but the mathematical skills to be successful in the next math sequential course.</w:t>
      </w:r>
    </w:p>
    <w:p w:rsidR="001A6110" w:rsidRDefault="001A6110" w:rsidP="003E2549">
      <w:pPr>
        <w:pStyle w:val="Default"/>
        <w:rPr>
          <w:rStyle w:val="Heading2Char"/>
          <w:rFonts w:ascii="Times New Roman" w:eastAsia="Calibri" w:hAnsi="Times New Roman" w:cs="Times New Roman"/>
          <w:i w:val="0"/>
          <w:sz w:val="24"/>
          <w:szCs w:val="24"/>
        </w:rPr>
      </w:pPr>
    </w:p>
    <w:p w:rsidR="003E2549" w:rsidRPr="00084EF6" w:rsidRDefault="003E2549" w:rsidP="003E2549">
      <w:pPr>
        <w:pStyle w:val="Default"/>
        <w:rPr>
          <w:rFonts w:ascii="Times New Roman" w:eastAsia="Calibri" w:hAnsi="Times New Roman" w:cs="Times New Roman"/>
          <w:b/>
          <w:bCs/>
          <w:iCs/>
          <w:lang w:bidi="en-US"/>
        </w:rPr>
      </w:pPr>
      <w:r w:rsidRPr="003E2549">
        <w:rPr>
          <w:rStyle w:val="Heading2Char"/>
          <w:rFonts w:ascii="Times New Roman" w:eastAsia="Calibri" w:hAnsi="Times New Roman" w:cs="Times New Roman"/>
          <w:i w:val="0"/>
          <w:sz w:val="24"/>
          <w:szCs w:val="24"/>
        </w:rPr>
        <w:t>Courses:</w:t>
      </w:r>
      <w:bookmarkEnd w:id="1"/>
      <w:r>
        <w:rPr>
          <w:rStyle w:val="Heading2Char"/>
          <w:rFonts w:ascii="Times New Roman" w:eastAsia="Calibri" w:hAnsi="Times New Roman" w:cs="Times New Roman"/>
          <w:i w:val="0"/>
          <w:sz w:val="24"/>
          <w:szCs w:val="24"/>
        </w:rPr>
        <w:t xml:space="preserve">  </w:t>
      </w:r>
      <w:r w:rsidRPr="003E2549">
        <w:rPr>
          <w:rFonts w:ascii="Times New Roman" w:hAnsi="Times New Roman" w:cs="Times New Roman"/>
        </w:rPr>
        <w:t>Introdu</w:t>
      </w:r>
      <w:r w:rsidR="001A6110">
        <w:rPr>
          <w:rFonts w:ascii="Times New Roman" w:hAnsi="Times New Roman" w:cs="Times New Roman"/>
        </w:rPr>
        <w:t xml:space="preserve">ction to Algebra – Math 101S; </w:t>
      </w:r>
      <w:r w:rsidRPr="003E2549">
        <w:rPr>
          <w:rFonts w:ascii="Times New Roman" w:hAnsi="Times New Roman" w:cs="Times New Roman"/>
        </w:rPr>
        <w:t>Intermediate Algebra – Math 102</w:t>
      </w:r>
      <w:r w:rsidR="0082514B">
        <w:rPr>
          <w:rFonts w:ascii="Times New Roman" w:hAnsi="Times New Roman" w:cs="Times New Roman"/>
        </w:rPr>
        <w:t>; Finite Mathematics – Math 108</w:t>
      </w:r>
      <w:r w:rsidR="004671BE">
        <w:rPr>
          <w:rFonts w:ascii="Times New Roman" w:hAnsi="Times New Roman" w:cs="Times New Roman"/>
        </w:rPr>
        <w:t xml:space="preserve"> and </w:t>
      </w:r>
      <w:r w:rsidR="001A6110">
        <w:rPr>
          <w:rFonts w:ascii="Times New Roman" w:hAnsi="Times New Roman" w:cs="Times New Roman"/>
        </w:rPr>
        <w:t>Pre-Calculus</w:t>
      </w:r>
      <w:r w:rsidR="004671BE">
        <w:rPr>
          <w:rFonts w:ascii="Times New Roman" w:hAnsi="Times New Roman" w:cs="Times New Roman"/>
        </w:rPr>
        <w:t xml:space="preserve"> – Math 123. </w:t>
      </w:r>
      <w:r w:rsidR="00084EF6">
        <w:rPr>
          <w:rFonts w:ascii="Times New Roman" w:eastAsia="Calibri" w:hAnsi="Times New Roman" w:cs="Times New Roman"/>
          <w:b/>
          <w:bCs/>
          <w:iCs/>
          <w:lang w:bidi="en-US"/>
        </w:rPr>
        <w:t xml:space="preserve"> </w:t>
      </w:r>
      <w:r w:rsidR="00C75BA6">
        <w:rPr>
          <w:rFonts w:ascii="Times New Roman" w:hAnsi="Times New Roman" w:cs="Times New Roman"/>
        </w:rPr>
        <w:t>This report includes data from 8</w:t>
      </w:r>
      <w:r w:rsidRPr="003E2549">
        <w:rPr>
          <w:rFonts w:ascii="Times New Roman" w:hAnsi="Times New Roman" w:cs="Times New Roman"/>
        </w:rPr>
        <w:t xml:space="preserve"> sec</w:t>
      </w:r>
      <w:r>
        <w:rPr>
          <w:rFonts w:ascii="Times New Roman" w:hAnsi="Times New Roman" w:cs="Times New Roman"/>
        </w:rPr>
        <w:t>ti</w:t>
      </w:r>
      <w:r w:rsidR="00C75BA6">
        <w:rPr>
          <w:rFonts w:ascii="Times New Roman" w:hAnsi="Times New Roman" w:cs="Times New Roman"/>
        </w:rPr>
        <w:t>ons of Math 101S from the fall</w:t>
      </w:r>
      <w:r>
        <w:rPr>
          <w:rFonts w:ascii="Times New Roman" w:hAnsi="Times New Roman" w:cs="Times New Roman"/>
        </w:rPr>
        <w:t xml:space="preserve"> semester of</w:t>
      </w:r>
      <w:r w:rsidR="0082514B">
        <w:rPr>
          <w:rFonts w:ascii="Times New Roman" w:hAnsi="Times New Roman" w:cs="Times New Roman"/>
        </w:rPr>
        <w:t xml:space="preserve"> 2011 (n = 191</w:t>
      </w:r>
      <w:r w:rsidR="004671BE">
        <w:rPr>
          <w:rFonts w:ascii="Times New Roman" w:hAnsi="Times New Roman" w:cs="Times New Roman"/>
        </w:rPr>
        <w:t>),</w:t>
      </w:r>
      <w:r w:rsidRPr="003E2549">
        <w:rPr>
          <w:rFonts w:ascii="Times New Roman" w:hAnsi="Times New Roman" w:cs="Times New Roman"/>
        </w:rPr>
        <w:t xml:space="preserve"> </w:t>
      </w:r>
      <w:r w:rsidR="004671BE">
        <w:rPr>
          <w:rFonts w:ascii="Times New Roman" w:hAnsi="Times New Roman" w:cs="Times New Roman"/>
        </w:rPr>
        <w:t>o</w:t>
      </w:r>
      <w:r w:rsidR="00084EF6" w:rsidRPr="003E2549">
        <w:rPr>
          <w:rFonts w:ascii="Times New Roman" w:hAnsi="Times New Roman" w:cs="Times New Roman"/>
        </w:rPr>
        <w:t>ne</w:t>
      </w:r>
      <w:r w:rsidRPr="003E2549">
        <w:rPr>
          <w:rFonts w:ascii="Times New Roman" w:hAnsi="Times New Roman" w:cs="Times New Roman"/>
        </w:rPr>
        <w:t xml:space="preserve"> s</w:t>
      </w:r>
      <w:r w:rsidR="0082514B">
        <w:rPr>
          <w:rFonts w:ascii="Times New Roman" w:hAnsi="Times New Roman" w:cs="Times New Roman"/>
        </w:rPr>
        <w:t>ection of Math 102 (n = 28</w:t>
      </w:r>
      <w:r w:rsidR="00084EF6">
        <w:rPr>
          <w:rFonts w:ascii="Times New Roman" w:hAnsi="Times New Roman" w:cs="Times New Roman"/>
        </w:rPr>
        <w:t>)</w:t>
      </w:r>
      <w:r w:rsidR="0082514B">
        <w:rPr>
          <w:rFonts w:ascii="Times New Roman" w:hAnsi="Times New Roman" w:cs="Times New Roman"/>
        </w:rPr>
        <w:t xml:space="preserve">, four sections of Math 108 </w:t>
      </w:r>
      <w:r w:rsidR="0082514B" w:rsidRPr="00F0774E">
        <w:rPr>
          <w:rFonts w:ascii="Times New Roman" w:hAnsi="Times New Roman" w:cs="Times New Roman"/>
        </w:rPr>
        <w:t>(</w:t>
      </w:r>
      <w:r w:rsidR="00955D67">
        <w:rPr>
          <w:rFonts w:ascii="Times New Roman" w:hAnsi="Times New Roman" w:cs="Times New Roman"/>
        </w:rPr>
        <w:t>n = 89</w:t>
      </w:r>
      <w:r w:rsidR="00F0774E" w:rsidRPr="00F0774E">
        <w:rPr>
          <w:rFonts w:ascii="Times New Roman" w:hAnsi="Times New Roman" w:cs="Times New Roman"/>
        </w:rPr>
        <w:t>)</w:t>
      </w:r>
      <w:r w:rsidR="00F0774E">
        <w:rPr>
          <w:rFonts w:ascii="Times New Roman" w:hAnsi="Times New Roman" w:cs="Times New Roman"/>
        </w:rPr>
        <w:t xml:space="preserve"> and</w:t>
      </w:r>
      <w:r w:rsidR="00B6396D">
        <w:rPr>
          <w:rFonts w:ascii="Times New Roman" w:hAnsi="Times New Roman" w:cs="Times New Roman"/>
        </w:rPr>
        <w:t xml:space="preserve"> one section o</w:t>
      </w:r>
      <w:r w:rsidR="0082514B">
        <w:rPr>
          <w:rFonts w:ascii="Times New Roman" w:hAnsi="Times New Roman" w:cs="Times New Roman"/>
        </w:rPr>
        <w:t>f Pre-Calculus; Math 123 (n = 18</w:t>
      </w:r>
      <w:r w:rsidR="00B6396D">
        <w:rPr>
          <w:rFonts w:ascii="Times New Roman" w:hAnsi="Times New Roman" w:cs="Times New Roman"/>
        </w:rPr>
        <w:t>).</w:t>
      </w:r>
      <w:r w:rsidR="001A6110">
        <w:rPr>
          <w:rFonts w:ascii="Times New Roman" w:hAnsi="Times New Roman" w:cs="Times New Roman"/>
        </w:rPr>
        <w:t xml:space="preserve"> </w:t>
      </w:r>
    </w:p>
    <w:p w:rsidR="003E2549" w:rsidRPr="00511831" w:rsidRDefault="003E2549" w:rsidP="003E2549">
      <w:pPr>
        <w:pStyle w:val="Heading3"/>
        <w:rPr>
          <w:rFonts w:ascii="Times New Roman" w:hAnsi="Times New Roman"/>
          <w:sz w:val="24"/>
          <w:szCs w:val="24"/>
        </w:rPr>
      </w:pPr>
      <w:bookmarkStart w:id="2" w:name="_Toc282766038"/>
      <w:r w:rsidRPr="00511831">
        <w:rPr>
          <w:rFonts w:ascii="Times New Roman" w:hAnsi="Times New Roman"/>
          <w:sz w:val="24"/>
          <w:szCs w:val="24"/>
        </w:rPr>
        <w:t>Course Descriptions:</w:t>
      </w:r>
      <w:bookmarkEnd w:id="2"/>
    </w:p>
    <w:p w:rsidR="008436B5" w:rsidRPr="00511831" w:rsidRDefault="008436B5" w:rsidP="008436B5">
      <w:pPr>
        <w:rPr>
          <w:lang w:bidi="en-US"/>
        </w:rPr>
      </w:pPr>
    </w:p>
    <w:p w:rsidR="003E2549" w:rsidRPr="00511831" w:rsidRDefault="003E2549" w:rsidP="003E2549">
      <w:pPr>
        <w:pStyle w:val="Default"/>
        <w:rPr>
          <w:rFonts w:ascii="Times New Roman" w:hAnsi="Times New Roman" w:cs="Times New Roman"/>
        </w:rPr>
      </w:pPr>
      <w:r w:rsidRPr="00511831">
        <w:rPr>
          <w:rFonts w:ascii="Times New Roman" w:hAnsi="Times New Roman" w:cs="Times New Roman"/>
          <w:b/>
        </w:rPr>
        <w:tab/>
        <w:t xml:space="preserve">Math 101S: </w:t>
      </w:r>
      <w:r w:rsidRPr="00511831">
        <w:rPr>
          <w:rFonts w:ascii="Times New Roman" w:hAnsi="Times New Roman" w:cs="Times New Roman"/>
        </w:rPr>
        <w:t>This course provides students with an intensive review of high school algebra and prepares them for their first college level mathematics course.  Topics include a review of basic arithmetic operations, the real number system, algebraic expressions and exponents with basic rules of algebra, linear equations and inequalities with applications, graphs of equations and inequalities, operations on polynomials, introduction to systems of equations, and introduction to factoring.</w:t>
      </w:r>
    </w:p>
    <w:p w:rsidR="003E2549" w:rsidRPr="00511831" w:rsidRDefault="003E2549" w:rsidP="003E2549">
      <w:pPr>
        <w:pStyle w:val="Default"/>
        <w:rPr>
          <w:rFonts w:ascii="Times New Roman" w:hAnsi="Times New Roman" w:cs="Times New Roman"/>
        </w:rPr>
      </w:pPr>
    </w:p>
    <w:p w:rsidR="003E2549" w:rsidRDefault="003E2549" w:rsidP="003E2549">
      <w:pPr>
        <w:pStyle w:val="Default"/>
        <w:rPr>
          <w:rFonts w:ascii="Times New Roman" w:hAnsi="Times New Roman" w:cs="Times New Roman"/>
        </w:rPr>
      </w:pPr>
      <w:r w:rsidRPr="00511831">
        <w:rPr>
          <w:rFonts w:ascii="Times New Roman" w:hAnsi="Times New Roman" w:cs="Times New Roman"/>
        </w:rPr>
        <w:tab/>
      </w:r>
      <w:r w:rsidRPr="00511831">
        <w:rPr>
          <w:rFonts w:ascii="Times New Roman" w:hAnsi="Times New Roman" w:cs="Times New Roman"/>
          <w:b/>
        </w:rPr>
        <w:t xml:space="preserve">Math 102: </w:t>
      </w:r>
      <w:r w:rsidRPr="00511831">
        <w:rPr>
          <w:rFonts w:ascii="Times New Roman" w:hAnsi="Times New Roman" w:cs="Times New Roman"/>
        </w:rPr>
        <w:t>This course is intended for those math and science majors who have some background in algebra (Math 101S or placement score) but lack the preparation needed to study pre-calculus and calc</w:t>
      </w:r>
      <w:r w:rsidR="00E40C6F">
        <w:rPr>
          <w:rFonts w:ascii="Times New Roman" w:hAnsi="Times New Roman" w:cs="Times New Roman"/>
        </w:rPr>
        <w:t>ulus.  Topics include exponents, factoring,</w:t>
      </w:r>
      <w:r w:rsidRPr="00511831">
        <w:rPr>
          <w:rFonts w:ascii="Times New Roman" w:hAnsi="Times New Roman" w:cs="Times New Roman"/>
        </w:rPr>
        <w:t xml:space="preserve"> quadr</w:t>
      </w:r>
      <w:r w:rsidR="00E40C6F">
        <w:rPr>
          <w:rFonts w:ascii="Times New Roman" w:hAnsi="Times New Roman" w:cs="Times New Roman"/>
        </w:rPr>
        <w:t>atic and polynomial expressions, equalities and inequalities,</w:t>
      </w:r>
      <w:r w:rsidRPr="00511831">
        <w:rPr>
          <w:rFonts w:ascii="Times New Roman" w:hAnsi="Times New Roman" w:cs="Times New Roman"/>
        </w:rPr>
        <w:t xml:space="preserve"> rational expression</w:t>
      </w:r>
      <w:r w:rsidR="00E40C6F">
        <w:rPr>
          <w:rFonts w:ascii="Times New Roman" w:hAnsi="Times New Roman" w:cs="Times New Roman"/>
        </w:rPr>
        <w:t>s</w:t>
      </w:r>
      <w:r w:rsidRPr="00511831">
        <w:rPr>
          <w:rFonts w:ascii="Times New Roman" w:hAnsi="Times New Roman" w:cs="Times New Roman"/>
        </w:rPr>
        <w:t>, radical expressions a</w:t>
      </w:r>
      <w:r w:rsidR="00E40C6F">
        <w:rPr>
          <w:rFonts w:ascii="Times New Roman" w:hAnsi="Times New Roman" w:cs="Times New Roman"/>
        </w:rPr>
        <w:t>nd equations,</w:t>
      </w:r>
      <w:r w:rsidRPr="00511831">
        <w:rPr>
          <w:rFonts w:ascii="Times New Roman" w:hAnsi="Times New Roman" w:cs="Times New Roman"/>
        </w:rPr>
        <w:t xml:space="preserve"> </w:t>
      </w:r>
      <w:r w:rsidR="004671BE" w:rsidRPr="00511831">
        <w:rPr>
          <w:rFonts w:ascii="Times New Roman" w:hAnsi="Times New Roman" w:cs="Times New Roman"/>
        </w:rPr>
        <w:t xml:space="preserve">and </w:t>
      </w:r>
      <w:r w:rsidRPr="00511831">
        <w:rPr>
          <w:rFonts w:ascii="Times New Roman" w:hAnsi="Times New Roman" w:cs="Times New Roman"/>
        </w:rPr>
        <w:t>systems of equations and inequalities.</w:t>
      </w:r>
    </w:p>
    <w:p w:rsidR="0082514B" w:rsidRDefault="0082514B" w:rsidP="003E2549">
      <w:pPr>
        <w:pStyle w:val="Default"/>
        <w:rPr>
          <w:rFonts w:ascii="Times New Roman" w:hAnsi="Times New Roman" w:cs="Times New Roman"/>
        </w:rPr>
      </w:pPr>
    </w:p>
    <w:p w:rsidR="00C75BA6" w:rsidRPr="00511831" w:rsidRDefault="0082514B" w:rsidP="00AA06E1">
      <w:r>
        <w:tab/>
      </w:r>
      <w:r w:rsidRPr="00C71D7F">
        <w:rPr>
          <w:b/>
        </w:rPr>
        <w:t>Math 108</w:t>
      </w:r>
      <w:r w:rsidR="00AA06E1">
        <w:rPr>
          <w:b/>
        </w:rPr>
        <w:t xml:space="preserve">: </w:t>
      </w:r>
      <w:r w:rsidR="00AA06E1">
        <w:t>This course is intended to provide a broad-based general overview of the college mathematics, especially those majoring in the social sciences, business, nursing, and allied health fields.  Topics include a continuation of the algebra topics of Math 101S; critical thinking skills, sets, logic and the real number system.  In addition to these topics, graphs, functions, modeling and data analysis, use of matrices to solve system of equations, systems of linear inequalities and understanding of dimensional analysis and conversions to and from the metric system are also covered.</w:t>
      </w:r>
    </w:p>
    <w:p w:rsidR="00C75BA6" w:rsidRPr="00E40C6F" w:rsidRDefault="00C75BA6" w:rsidP="00E40C6F">
      <w:r w:rsidRPr="00511831">
        <w:lastRenderedPageBreak/>
        <w:tab/>
      </w:r>
      <w:r w:rsidRPr="00511831">
        <w:rPr>
          <w:b/>
        </w:rPr>
        <w:t>Math 123</w:t>
      </w:r>
      <w:r w:rsidR="00E40C6F">
        <w:rPr>
          <w:b/>
        </w:rPr>
        <w:t xml:space="preserve">: </w:t>
      </w:r>
      <w:r w:rsidR="00E40C6F">
        <w:t>This course prepares students for calculus.  Topics include the concept of a function, exponential and logarithmic functions, and trigonometric functions and coordinate geometry.</w:t>
      </w:r>
    </w:p>
    <w:p w:rsidR="008436B5" w:rsidRDefault="008436B5" w:rsidP="003E2549">
      <w:pPr>
        <w:rPr>
          <w:rStyle w:val="Heading3Char"/>
          <w:rFonts w:ascii="Times New Roman" w:eastAsia="Calibri" w:hAnsi="Times New Roman"/>
          <w:sz w:val="24"/>
          <w:szCs w:val="24"/>
        </w:rPr>
      </w:pPr>
      <w:bookmarkStart w:id="3" w:name="_Toc282766039"/>
    </w:p>
    <w:p w:rsidR="00E40C6F" w:rsidRPr="00511831" w:rsidRDefault="00E40C6F" w:rsidP="003E2549">
      <w:pPr>
        <w:rPr>
          <w:rStyle w:val="Heading3Char"/>
          <w:rFonts w:ascii="Times New Roman" w:eastAsia="Calibri" w:hAnsi="Times New Roman"/>
          <w:sz w:val="24"/>
          <w:szCs w:val="24"/>
        </w:rPr>
      </w:pPr>
    </w:p>
    <w:p w:rsidR="003E2549" w:rsidRPr="003E2549" w:rsidRDefault="003E2549" w:rsidP="003E2549">
      <w:r w:rsidRPr="003E2549">
        <w:rPr>
          <w:rStyle w:val="Heading3Char"/>
          <w:rFonts w:ascii="Times New Roman" w:eastAsia="Calibri" w:hAnsi="Times New Roman"/>
          <w:sz w:val="24"/>
          <w:szCs w:val="24"/>
        </w:rPr>
        <w:t>Course Methods:</w:t>
      </w:r>
      <w:bookmarkEnd w:id="3"/>
      <w:r w:rsidRPr="003E2549">
        <w:rPr>
          <w:b/>
        </w:rPr>
        <w:t xml:space="preserve">  </w:t>
      </w:r>
      <w:r w:rsidR="00967EFB">
        <w:t>Both Math 101S and Math 102 have</w:t>
      </w:r>
      <w:r w:rsidRPr="003E2549">
        <w:t xml:space="preserve"> incorporated a very rigorous adaptation of the MyMathLab pedagogy in conjunction with VAK (Visual, Auditory, and Kinesthetic) styled classroom lectures, culturally</w:t>
      </w:r>
      <w:r w:rsidR="00D471C8">
        <w:t xml:space="preserve"> responsive mathematics activities</w:t>
      </w:r>
      <w:r w:rsidRPr="003E2549">
        <w:t xml:space="preserve"> and presentation of mathematical material.  Lesson plans followed an aggressive differentiated instructional model. </w:t>
      </w:r>
      <w:r w:rsidR="0082514B">
        <w:t>Math 108 and Math 123 also incorporate</w:t>
      </w:r>
      <w:r w:rsidR="00D471C8">
        <w:t>d</w:t>
      </w:r>
      <w:r w:rsidR="00967EFB">
        <w:t xml:space="preserve"> the MyMathLab pedagogy.</w:t>
      </w:r>
    </w:p>
    <w:p w:rsidR="003E2549" w:rsidRPr="003E2549" w:rsidRDefault="003E2549" w:rsidP="003E2549">
      <w:pPr>
        <w:pStyle w:val="Default"/>
        <w:rPr>
          <w:rFonts w:ascii="Times New Roman" w:hAnsi="Times New Roman" w:cs="Times New Roman"/>
          <w:b/>
        </w:rPr>
      </w:pPr>
    </w:p>
    <w:p w:rsidR="003E2549" w:rsidRPr="003E2549" w:rsidRDefault="003E2549" w:rsidP="003E2549">
      <w:bookmarkStart w:id="4" w:name="_Toc282766040"/>
      <w:r w:rsidRPr="003E2549">
        <w:rPr>
          <w:rStyle w:val="Heading3Char"/>
          <w:rFonts w:ascii="Times New Roman" w:eastAsia="Calibri" w:hAnsi="Times New Roman"/>
          <w:sz w:val="24"/>
          <w:szCs w:val="24"/>
        </w:rPr>
        <w:t>Course Objectives:</w:t>
      </w:r>
      <w:bookmarkEnd w:id="4"/>
      <w:r w:rsidRPr="003E2549">
        <w:t xml:space="preserve"> Upon successful completion of the course, students will have the skills necessary to enroll in the next sequential mathematics course.  Additionally, upon completion of the course, students</w:t>
      </w:r>
      <w:r w:rsidR="00E40C6F">
        <w:t>, both passing and not</w:t>
      </w:r>
      <w:r w:rsidR="00967EFB">
        <w:t xml:space="preserve"> passing</w:t>
      </w:r>
      <w:r w:rsidR="00E40C6F">
        <w:t xml:space="preserve">, </w:t>
      </w:r>
      <w:r w:rsidR="00E40C6F" w:rsidRPr="003E2549">
        <w:t>will</w:t>
      </w:r>
      <w:r w:rsidRPr="003E2549">
        <w:t xml:space="preserve"> have a stronger sense of self-efficacy with regard to mathematics.</w:t>
      </w:r>
    </w:p>
    <w:p w:rsidR="003E2549" w:rsidRDefault="003E2549" w:rsidP="003E2549">
      <w:pPr>
        <w:pStyle w:val="Heading1"/>
        <w:rPr>
          <w:rFonts w:ascii="Times New Roman" w:hAnsi="Times New Roman"/>
          <w:sz w:val="24"/>
          <w:szCs w:val="24"/>
        </w:rPr>
      </w:pPr>
      <w:bookmarkStart w:id="5" w:name="_Toc282766041"/>
      <w:r w:rsidRPr="003C522D">
        <w:rPr>
          <w:rFonts w:ascii="Times New Roman" w:hAnsi="Times New Roman"/>
          <w:sz w:val="24"/>
          <w:szCs w:val="24"/>
        </w:rPr>
        <w:t>Part II</w:t>
      </w:r>
      <w:r w:rsidR="002E36C7">
        <w:rPr>
          <w:rFonts w:ascii="Times New Roman" w:hAnsi="Times New Roman"/>
          <w:sz w:val="24"/>
          <w:szCs w:val="24"/>
        </w:rPr>
        <w:t>:</w:t>
      </w:r>
      <w:r w:rsidRPr="003C522D">
        <w:rPr>
          <w:rFonts w:ascii="Times New Roman" w:hAnsi="Times New Roman"/>
          <w:sz w:val="24"/>
          <w:szCs w:val="24"/>
        </w:rPr>
        <w:t xml:space="preserve"> Pre-Test Information</w:t>
      </w:r>
      <w:bookmarkEnd w:id="5"/>
    </w:p>
    <w:p w:rsidR="00D471C8" w:rsidRPr="00D471C8" w:rsidRDefault="00D471C8" w:rsidP="00D471C8">
      <w:pPr>
        <w:rPr>
          <w:b/>
          <w:lang w:bidi="en-US"/>
        </w:rPr>
      </w:pPr>
      <w:r w:rsidRPr="00D471C8">
        <w:rPr>
          <w:b/>
          <w:lang w:bidi="en-US"/>
        </w:rPr>
        <w:t>- Accuplacer</w:t>
      </w:r>
    </w:p>
    <w:p w:rsidR="00D471C8" w:rsidRPr="00D471C8" w:rsidRDefault="00D471C8" w:rsidP="00D471C8">
      <w:pPr>
        <w:rPr>
          <w:lang w:bidi="en-US"/>
        </w:rPr>
      </w:pPr>
    </w:p>
    <w:p w:rsidR="003E2549" w:rsidRDefault="003E2549" w:rsidP="003E2549">
      <w:r w:rsidRPr="003C522D">
        <w:t>The standardized Accuplacer exam was used for placement</w:t>
      </w:r>
      <w:r w:rsidR="00511831">
        <w:t xml:space="preserve"> of students taking Math 101S</w:t>
      </w:r>
      <w:r w:rsidR="00967EFB">
        <w:t xml:space="preserve">, </w:t>
      </w:r>
      <w:r w:rsidR="00967EFB" w:rsidRPr="003C522D">
        <w:t>Math</w:t>
      </w:r>
      <w:r w:rsidRPr="003C522D">
        <w:t xml:space="preserve"> 102</w:t>
      </w:r>
      <w:r w:rsidR="0082514B">
        <w:t>, Math 108</w:t>
      </w:r>
      <w:r w:rsidRPr="003C522D">
        <w:t xml:space="preserve"> </w:t>
      </w:r>
      <w:r w:rsidR="00511831">
        <w:t xml:space="preserve">or Math 123 </w:t>
      </w:r>
      <w:r w:rsidRPr="003C522D">
        <w:t>for the first time.  The Academic Services Center managed the administration, proctoring</w:t>
      </w:r>
      <w:r w:rsidR="00D471C8">
        <w:t>,</w:t>
      </w:r>
      <w:r w:rsidRPr="003C522D">
        <w:t xml:space="preserve"> and maintenance of the online placement tests.  Individual student score reports were available immediately after t</w:t>
      </w:r>
      <w:r w:rsidR="00D471C8">
        <w:t>esting.  These score reports were</w:t>
      </w:r>
      <w:r w:rsidRPr="003C522D">
        <w:t xml:space="preserve"> utilized </w:t>
      </w:r>
      <w:r w:rsidR="00D471C8">
        <w:t>by faculty advisors for</w:t>
      </w:r>
      <w:r w:rsidRPr="003C522D">
        <w:t xml:space="preserve"> correct student placement.  Cut scores (benchmarks) were determined from previous testing of the incoming student populations.  </w:t>
      </w:r>
    </w:p>
    <w:p w:rsidR="00EC0044" w:rsidRDefault="00EC0044" w:rsidP="003E2549"/>
    <w:p w:rsidR="00EC0044" w:rsidRDefault="00511831" w:rsidP="003E2549">
      <w:r>
        <w:t>In fall</w:t>
      </w:r>
      <w:r w:rsidR="0082514B">
        <w:t xml:space="preserve"> 201</w:t>
      </w:r>
      <w:r w:rsidR="00F0774E">
        <w:t>2</w:t>
      </w:r>
      <w:r w:rsidR="00E40C6F">
        <w:t>,</w:t>
      </w:r>
      <w:r w:rsidR="0082514B">
        <w:t xml:space="preserve"> 171</w:t>
      </w:r>
      <w:r w:rsidR="004F033B">
        <w:t xml:space="preserve"> </w:t>
      </w:r>
      <w:r w:rsidR="004671BE">
        <w:t>Math 101S students</w:t>
      </w:r>
      <w:r>
        <w:t xml:space="preserve"> (</w:t>
      </w:r>
      <w:r w:rsidR="0082514B">
        <w:t>90</w:t>
      </w:r>
      <w:r>
        <w:t>%)</w:t>
      </w:r>
      <w:r w:rsidR="00E40C6F">
        <w:t xml:space="preserve"> took</w:t>
      </w:r>
      <w:r w:rsidR="004671BE">
        <w:t xml:space="preserve"> the Accuplacer for placement;</w:t>
      </w:r>
      <w:r w:rsidR="0082514B">
        <w:t xml:space="preserve"> only 20 students (10</w:t>
      </w:r>
      <w:r>
        <w:t>%</w:t>
      </w:r>
      <w:r w:rsidR="0082514B">
        <w:t>) were</w:t>
      </w:r>
      <w:r w:rsidR="004671BE">
        <w:t xml:space="preserve"> classified as “repeaters,” as they</w:t>
      </w:r>
      <w:r w:rsidR="00EC0044">
        <w:t xml:space="preserve"> that had previously enrolled in Math 101S and had not received a passing grade.</w:t>
      </w:r>
      <w:r w:rsidR="004671BE">
        <w:t xml:space="preserve"> (Repeaters had</w:t>
      </w:r>
      <w:r w:rsidR="004F033B">
        <w:t xml:space="preserve"> taken the Accuplacer in a previous semester).</w:t>
      </w:r>
    </w:p>
    <w:p w:rsidR="00EC0044" w:rsidRDefault="00EC0044" w:rsidP="003E2549"/>
    <w:p w:rsidR="00EC0044" w:rsidRDefault="00E40C6F" w:rsidP="003E2549">
      <w:r>
        <w:t>In Math 102</w:t>
      </w:r>
      <w:r w:rsidR="00D471C8">
        <w:t>,</w:t>
      </w:r>
      <w:r w:rsidR="0057781D">
        <w:t xml:space="preserve"> </w:t>
      </w:r>
      <w:r w:rsidR="001C4702" w:rsidRPr="001C4702">
        <w:t>36</w:t>
      </w:r>
      <w:r w:rsidRPr="001C4702">
        <w:t>%</w:t>
      </w:r>
      <w:r>
        <w:t xml:space="preserve"> of the students took</w:t>
      </w:r>
      <w:r w:rsidR="002B05DD">
        <w:t xml:space="preserve"> the Accup</w:t>
      </w:r>
      <w:r w:rsidR="00E55C85">
        <w:t xml:space="preserve">lacer for placement.  Another </w:t>
      </w:r>
      <w:r w:rsidR="008762AD">
        <w:t>25</w:t>
      </w:r>
      <w:r w:rsidR="002B05DD">
        <w:t xml:space="preserve">% </w:t>
      </w:r>
      <w:r w:rsidR="00EC085F">
        <w:t xml:space="preserve">were </w:t>
      </w:r>
      <w:r w:rsidR="00351716">
        <w:t>repeaters</w:t>
      </w:r>
      <w:r w:rsidR="00D471C8">
        <w:t>,</w:t>
      </w:r>
      <w:r w:rsidR="004671BE">
        <w:t xml:space="preserve"> and the rest</w:t>
      </w:r>
      <w:r w:rsidR="00E55C85">
        <w:t xml:space="preserve"> (</w:t>
      </w:r>
      <w:r w:rsidR="008762AD">
        <w:t>39</w:t>
      </w:r>
      <w:r w:rsidR="002B05DD">
        <w:t>%) were students that had successfully passed Math 101</w:t>
      </w:r>
      <w:r w:rsidR="00B6396D">
        <w:t>S</w:t>
      </w:r>
      <w:r w:rsidR="002B05DD">
        <w:t xml:space="preserve"> in a previous semester.</w:t>
      </w:r>
      <w:r w:rsidR="008762AD">
        <w:t xml:space="preserve"> No students</w:t>
      </w:r>
      <w:r w:rsidR="0057781D">
        <w:t xml:space="preserve"> </w:t>
      </w:r>
      <w:r w:rsidR="00D471C8">
        <w:t xml:space="preserve">were </w:t>
      </w:r>
      <w:r w:rsidR="00D2314C">
        <w:t>placed into Math 102 without the proper prerequisites.</w:t>
      </w:r>
    </w:p>
    <w:p w:rsidR="005F6967" w:rsidRDefault="005F6967" w:rsidP="003E2549"/>
    <w:p w:rsidR="005F6967" w:rsidRDefault="005F6967" w:rsidP="005F6967">
      <w:r>
        <w:t xml:space="preserve">In Math 108, </w:t>
      </w:r>
      <w:r w:rsidR="00955D67" w:rsidRPr="00955D67">
        <w:t>37</w:t>
      </w:r>
      <w:r w:rsidRPr="00955D67">
        <w:t>%</w:t>
      </w:r>
      <w:r>
        <w:t xml:space="preserve"> of the students were plac</w:t>
      </w:r>
      <w:r w:rsidR="00955D67">
        <w:t>ed via Accuplacer scores, and 31</w:t>
      </w:r>
      <w:r>
        <w:t>% were students that successfully passed Math 101S in the previous semester.</w:t>
      </w:r>
      <w:r w:rsidR="00955D67">
        <w:t xml:space="preserve">  15% were students that transferred in the proper math prerequisite.  5% were repeaters from the previous semester.  12% of the students were misplaced with incorrect Accuplacer scores or did not take the Accuplacer exam.</w:t>
      </w:r>
    </w:p>
    <w:p w:rsidR="005F6967" w:rsidRDefault="005F6967" w:rsidP="005F6967"/>
    <w:p w:rsidR="005F6967" w:rsidRDefault="005F6967" w:rsidP="005F6967">
      <w:r>
        <w:t>In Math 123</w:t>
      </w:r>
      <w:r w:rsidRPr="000B3859">
        <w:t xml:space="preserve">, </w:t>
      </w:r>
      <w:r w:rsidR="00955D67" w:rsidRPr="000B3859">
        <w:t>22</w:t>
      </w:r>
      <w:r w:rsidRPr="000B3859">
        <w:t>%</w:t>
      </w:r>
      <w:r>
        <w:t xml:space="preserve"> of the students were </w:t>
      </w:r>
      <w:r w:rsidR="00955D67">
        <w:t xml:space="preserve">placed via Accuplacer scores, </w:t>
      </w:r>
      <w:r w:rsidR="00265593">
        <w:t>5</w:t>
      </w:r>
      <w:r w:rsidR="00D471C8">
        <w:t>% were repeaters and</w:t>
      </w:r>
      <w:r>
        <w:t xml:space="preserve"> </w:t>
      </w:r>
      <w:r w:rsidR="00955D67">
        <w:t>11% transferred in the proper math prerequisite. 56</w:t>
      </w:r>
      <w:r>
        <w:t>% were students that successfully passed Math 102 in a previous semester</w:t>
      </w:r>
      <w:r w:rsidR="00955D67">
        <w:t xml:space="preserve"> and </w:t>
      </w:r>
      <w:r w:rsidR="00D471C8">
        <w:t>6% as the</w:t>
      </w:r>
      <w:r w:rsidR="00265593">
        <w:t xml:space="preserve"> student</w:t>
      </w:r>
      <w:r w:rsidR="00D471C8">
        <w:t>s</w:t>
      </w:r>
      <w:r w:rsidR="00265593">
        <w:t xml:space="preserve"> did not take the Accuplacer exam.</w:t>
      </w:r>
    </w:p>
    <w:p w:rsidR="00D471C8" w:rsidRDefault="00D471C8" w:rsidP="005F6967"/>
    <w:p w:rsidR="00703E41" w:rsidRDefault="00703E41" w:rsidP="005F6967">
      <w:pPr>
        <w:rPr>
          <w:b/>
        </w:rPr>
      </w:pPr>
    </w:p>
    <w:p w:rsidR="00703E41" w:rsidRDefault="00703E41" w:rsidP="005F6967">
      <w:pPr>
        <w:rPr>
          <w:b/>
        </w:rPr>
      </w:pPr>
    </w:p>
    <w:p w:rsidR="00703E41" w:rsidRDefault="00703E41" w:rsidP="005F6967">
      <w:pPr>
        <w:rPr>
          <w:b/>
        </w:rPr>
      </w:pPr>
    </w:p>
    <w:p w:rsidR="00D471C8" w:rsidRPr="00D471C8" w:rsidRDefault="00D471C8" w:rsidP="005F6967">
      <w:pPr>
        <w:rPr>
          <w:b/>
        </w:rPr>
      </w:pPr>
      <w:r w:rsidRPr="00D471C8">
        <w:rPr>
          <w:b/>
        </w:rPr>
        <w:lastRenderedPageBreak/>
        <w:t>-Pre-Test Diagnostic</w:t>
      </w:r>
    </w:p>
    <w:p w:rsidR="00511831" w:rsidRDefault="00511831" w:rsidP="003E2549"/>
    <w:p w:rsidR="003E2549" w:rsidRDefault="003E2549" w:rsidP="00B6396D">
      <w:r w:rsidRPr="003C522D">
        <w:t>Additionally, during the first</w:t>
      </w:r>
      <w:r w:rsidR="004671BE">
        <w:t xml:space="preserve"> week of class and</w:t>
      </w:r>
      <w:r w:rsidR="00D471C8">
        <w:t xml:space="preserve"> after</w:t>
      </w:r>
      <w:r w:rsidR="004671BE">
        <w:t xml:space="preserve"> the students’</w:t>
      </w:r>
      <w:r w:rsidRPr="003C522D">
        <w:t xml:space="preserve"> successful completion of the orientation exercises in MyMathLab, students in both M</w:t>
      </w:r>
      <w:r w:rsidR="00B6396D">
        <w:t>ath 101S and Math 102 were required</w:t>
      </w:r>
      <w:r w:rsidRPr="003C522D">
        <w:t xml:space="preserve"> to take a pre-test diagnostic exam. Results of the pre-test diagnostic exam were used to establish a starting point for differential instruction in both Math 101S and Math 102.  </w:t>
      </w:r>
      <w:r w:rsidR="00D471C8">
        <w:t xml:space="preserve">Results are also used to verify and confirm correct placement of students into pre-foundational courses.  </w:t>
      </w:r>
      <w:r w:rsidRPr="003C522D">
        <w:t>These results for all students are shown in the Exc</w:t>
      </w:r>
      <w:r w:rsidR="002B05DD">
        <w:t>el spreadsheet</w:t>
      </w:r>
      <w:r w:rsidR="00B6396D">
        <w:t>s</w:t>
      </w:r>
      <w:r w:rsidR="002B05DD">
        <w:t xml:space="preserve"> found in the appendices.</w:t>
      </w:r>
      <w:bookmarkStart w:id="6" w:name="_Toc282766042"/>
    </w:p>
    <w:p w:rsidR="003E2549" w:rsidRPr="003C522D" w:rsidRDefault="003E2549" w:rsidP="003E2549">
      <w:pPr>
        <w:pStyle w:val="Heading1"/>
        <w:rPr>
          <w:rFonts w:ascii="Times New Roman" w:hAnsi="Times New Roman"/>
          <w:sz w:val="24"/>
          <w:szCs w:val="24"/>
        </w:rPr>
      </w:pPr>
      <w:r w:rsidRPr="003C522D">
        <w:rPr>
          <w:rFonts w:ascii="Times New Roman" w:hAnsi="Times New Roman"/>
          <w:sz w:val="24"/>
          <w:szCs w:val="24"/>
        </w:rPr>
        <w:t>Part III</w:t>
      </w:r>
      <w:r w:rsidR="002E36C7">
        <w:rPr>
          <w:rFonts w:ascii="Times New Roman" w:hAnsi="Times New Roman"/>
          <w:sz w:val="24"/>
          <w:szCs w:val="24"/>
        </w:rPr>
        <w:t>:</w:t>
      </w:r>
      <w:r w:rsidRPr="003C522D">
        <w:rPr>
          <w:rFonts w:ascii="Times New Roman" w:hAnsi="Times New Roman"/>
          <w:sz w:val="24"/>
          <w:szCs w:val="24"/>
        </w:rPr>
        <w:t xml:space="preserve"> Post-Test Information</w:t>
      </w:r>
      <w:bookmarkEnd w:id="6"/>
    </w:p>
    <w:p w:rsidR="006365D6" w:rsidRDefault="003E2549" w:rsidP="00AE50B1">
      <w:r w:rsidRPr="003C522D">
        <w:t>All students in both Math</w:t>
      </w:r>
      <w:r w:rsidR="0057781D">
        <w:t xml:space="preserve"> 101S and Math 102 were asked</w:t>
      </w:r>
      <w:r w:rsidRPr="003C522D">
        <w:t xml:space="preserve"> to take the diagnostic post-test in MyMathLab,</w:t>
      </w:r>
      <w:r w:rsidR="0057781D">
        <w:t xml:space="preserve"> prior to taking</w:t>
      </w:r>
      <w:r w:rsidRPr="003C522D">
        <w:t xml:space="preserve"> the </w:t>
      </w:r>
      <w:r w:rsidR="0057781D">
        <w:t>Final Exam.  S</w:t>
      </w:r>
      <w:r w:rsidRPr="003C522D">
        <w:t>tudents’ lack of partic</w:t>
      </w:r>
      <w:r w:rsidR="0057781D">
        <w:t>ipation was not a factor; the majority of students took the post-test diagnostic to prepare for</w:t>
      </w:r>
      <w:r w:rsidRPr="003C522D">
        <w:t xml:space="preserve"> the final.  </w:t>
      </w:r>
      <w:r w:rsidR="0057781D">
        <w:t>For those students that did not participate, the</w:t>
      </w:r>
      <w:r w:rsidR="00914484">
        <w:t>ir results were not included for</w:t>
      </w:r>
      <w:r w:rsidR="0057781D">
        <w:t xml:space="preserve"> statistical analysis purposes.  </w:t>
      </w:r>
      <w:r w:rsidRPr="003C522D">
        <w:t xml:space="preserve">Results of these scores are in </w:t>
      </w:r>
      <w:r w:rsidR="002B05DD">
        <w:t>the Excel spreadsheet found in the appendices.</w:t>
      </w:r>
    </w:p>
    <w:p w:rsidR="008D51D7" w:rsidRDefault="008D51D7" w:rsidP="00AE50B1">
      <w:pPr>
        <w:rPr>
          <w:b/>
        </w:rPr>
      </w:pPr>
    </w:p>
    <w:p w:rsidR="008D51D7" w:rsidRDefault="00265593" w:rsidP="00AE50B1">
      <w:pPr>
        <w:rPr>
          <w:b/>
        </w:rPr>
      </w:pPr>
      <w:r w:rsidRPr="00265593">
        <w:rPr>
          <w:b/>
          <w:noProof/>
        </w:rPr>
        <w:drawing>
          <wp:anchor distT="0" distB="0" distL="114300" distR="114300" simplePos="0" relativeHeight="251661312" behindDoc="0" locked="0" layoutInCell="1" allowOverlap="1">
            <wp:simplePos x="0" y="0"/>
            <wp:positionH relativeFrom="margin">
              <wp:posOffset>3533775</wp:posOffset>
            </wp:positionH>
            <wp:positionV relativeFrom="margin">
              <wp:posOffset>2000250</wp:posOffset>
            </wp:positionV>
            <wp:extent cx="2991485" cy="2505075"/>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D51D7" w:rsidRDefault="008D51D7" w:rsidP="00AE50B1">
      <w:pPr>
        <w:rPr>
          <w:b/>
        </w:rPr>
      </w:pPr>
    </w:p>
    <w:p w:rsidR="00CD1DED" w:rsidRPr="006365D6" w:rsidRDefault="002E36C7" w:rsidP="00AE50B1">
      <w:r>
        <w:rPr>
          <w:b/>
        </w:rPr>
        <w:t>Part IV:</w:t>
      </w:r>
      <w:r w:rsidR="00784168" w:rsidRPr="002B05DD">
        <w:rPr>
          <w:b/>
        </w:rPr>
        <w:t xml:space="preserve"> Outcomes</w:t>
      </w:r>
    </w:p>
    <w:p w:rsidR="002B05DD" w:rsidRPr="002B05DD" w:rsidRDefault="002B05DD" w:rsidP="00AE50B1">
      <w:pPr>
        <w:rPr>
          <w:b/>
        </w:rPr>
      </w:pPr>
    </w:p>
    <w:p w:rsidR="00F42AF2" w:rsidRDefault="002B05DD" w:rsidP="00AE50B1">
      <w:pPr>
        <w:rPr>
          <w:b/>
        </w:rPr>
      </w:pPr>
      <w:r w:rsidRPr="002B05DD">
        <w:rPr>
          <w:b/>
        </w:rPr>
        <w:t>Math 101S</w:t>
      </w:r>
    </w:p>
    <w:p w:rsidR="004A6302" w:rsidRDefault="004A6302" w:rsidP="00AE50B1">
      <w:pPr>
        <w:rPr>
          <w:b/>
        </w:rPr>
      </w:pPr>
    </w:p>
    <w:p w:rsidR="004A6302" w:rsidRPr="002B05DD" w:rsidRDefault="004A6302" w:rsidP="00AE50B1">
      <w:pPr>
        <w:rPr>
          <w:b/>
        </w:rPr>
      </w:pPr>
      <w:r>
        <w:rPr>
          <w:b/>
        </w:rPr>
        <w:t>- Grade Distribution</w:t>
      </w:r>
      <w:r w:rsidR="005B1FF5" w:rsidRPr="005B1FF5">
        <w:rPr>
          <w:noProof/>
        </w:rPr>
        <w:t xml:space="preserve"> </w:t>
      </w:r>
    </w:p>
    <w:p w:rsidR="00784168" w:rsidRDefault="00784168" w:rsidP="00AE50B1"/>
    <w:p w:rsidR="00784168" w:rsidRDefault="00703E41" w:rsidP="00AE50B1">
      <w:r>
        <w:rPr>
          <w:noProof/>
        </w:rPr>
        <w:drawing>
          <wp:anchor distT="0" distB="0" distL="114300" distR="114300" simplePos="0" relativeHeight="251662336" behindDoc="0" locked="0" layoutInCell="1" allowOverlap="1">
            <wp:simplePos x="0" y="0"/>
            <wp:positionH relativeFrom="margin">
              <wp:posOffset>3533775</wp:posOffset>
            </wp:positionH>
            <wp:positionV relativeFrom="margin">
              <wp:posOffset>4848225</wp:posOffset>
            </wp:positionV>
            <wp:extent cx="2990850" cy="3286125"/>
            <wp:effectExtent l="0" t="0" r="0" b="0"/>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E36C7">
        <w:t>Please note</w:t>
      </w:r>
      <w:r w:rsidR="00F42AF2">
        <w:t xml:space="preserve"> that all outcomes and statistics for Math 101S are for all eight sections of the course combined except where stated </w:t>
      </w:r>
      <w:r w:rsidR="00F42AF2" w:rsidRPr="000B3859">
        <w:t xml:space="preserve">on page </w:t>
      </w:r>
      <w:r w:rsidR="000B3859" w:rsidRPr="000B3859">
        <w:t>1</w:t>
      </w:r>
      <w:r w:rsidR="00F42AF2" w:rsidRPr="000B3859">
        <w:t>0</w:t>
      </w:r>
      <w:r w:rsidR="00F42AF2">
        <w:t xml:space="preserve"> of this report.</w:t>
      </w:r>
      <w:r w:rsidR="001D609B" w:rsidRPr="001D609B">
        <w:rPr>
          <w:noProof/>
        </w:rPr>
        <w:t xml:space="preserve"> </w:t>
      </w:r>
    </w:p>
    <w:p w:rsidR="00F42AF2" w:rsidRDefault="00F42AF2" w:rsidP="00AE50B1"/>
    <w:p w:rsidR="00784168" w:rsidRDefault="00784168" w:rsidP="00AE50B1">
      <w:r>
        <w:t xml:space="preserve">The pie </w:t>
      </w:r>
      <w:r w:rsidR="00F42AF2">
        <w:t>chart to the right reflects</w:t>
      </w:r>
      <w:r w:rsidR="002B05DD">
        <w:t xml:space="preserve"> the grade distribution of the M</w:t>
      </w:r>
      <w:r>
        <w:t xml:space="preserve">ath 101S classes.  A mastery grading system </w:t>
      </w:r>
      <w:r w:rsidR="002B05DD">
        <w:t>w</w:t>
      </w:r>
      <w:r>
        <w:t>as use</w:t>
      </w:r>
      <w:r w:rsidR="00B6396D">
        <w:t xml:space="preserve">d; hence there were no </w:t>
      </w:r>
      <w:r w:rsidR="004671BE">
        <w:t xml:space="preserve">passing </w:t>
      </w:r>
      <w:r w:rsidR="00B6396D">
        <w:t>grades</w:t>
      </w:r>
      <w:r>
        <w:t xml:space="preserve"> lower than a “C” recorded.  In order to pass, the students were required to earn at least a minimum grade of 72%. </w:t>
      </w:r>
    </w:p>
    <w:p w:rsidR="00C34CD4" w:rsidRPr="00F42AF2" w:rsidRDefault="00C34CD4" w:rsidP="00207253"/>
    <w:p w:rsidR="00B031E4" w:rsidRDefault="001D609B" w:rsidP="00B031E4">
      <w:r>
        <w:t>This semester had four</w:t>
      </w:r>
      <w:r w:rsidR="00B031E4">
        <w:t xml:space="preserve"> different instructors</w:t>
      </w:r>
      <w:r>
        <w:t xml:space="preserve"> (2 full-time; 2 adjuncts</w:t>
      </w:r>
      <w:r w:rsidR="00881125">
        <w:t>) teaching</w:t>
      </w:r>
      <w:r w:rsidR="00B031E4">
        <w:t xml:space="preserve"> eight sections of Math 101S</w:t>
      </w:r>
      <w:r w:rsidR="00D471C8" w:rsidRPr="000B3859">
        <w:t>.  53</w:t>
      </w:r>
      <w:r w:rsidR="00B031E4" w:rsidRPr="000B3859">
        <w:t>%</w:t>
      </w:r>
      <w:r w:rsidR="00B031E4">
        <w:t xml:space="preserve"> of all students that registered for this course passed (grades of A, B and C).  </w:t>
      </w:r>
      <w:r w:rsidR="00D471C8" w:rsidRPr="000B3859">
        <w:t>47</w:t>
      </w:r>
      <w:r w:rsidR="00B031E4" w:rsidRPr="000B3859">
        <w:t>%</w:t>
      </w:r>
      <w:r w:rsidR="00B031E4">
        <w:t xml:space="preserve"> did not pass (grades of F, FQ and W).  Those receiving a final grade of “F” completed the </w:t>
      </w:r>
      <w:r w:rsidR="00D471C8">
        <w:t>course</w:t>
      </w:r>
      <w:r w:rsidR="00B031E4">
        <w:t xml:space="preserve"> through the final exam.  Students receiving a final grade of “</w:t>
      </w:r>
      <w:r w:rsidR="002E36C7">
        <w:t>FQ” did not complete the course because they</w:t>
      </w:r>
      <w:r w:rsidR="00B031E4">
        <w:t xml:space="preserve"> had stopped attending (quit) the course prior to the end of the semester with</w:t>
      </w:r>
      <w:r w:rsidR="002E36C7">
        <w:t>out</w:t>
      </w:r>
      <w:r w:rsidR="00B031E4">
        <w:t xml:space="preserve"> formally </w:t>
      </w:r>
      <w:r w:rsidR="00B031E4">
        <w:lastRenderedPageBreak/>
        <w:t>withdrawing.  Those with a final grade of “W” formally withdrew from the course.</w:t>
      </w:r>
    </w:p>
    <w:p w:rsidR="00CD1DED" w:rsidRDefault="00CD1DED" w:rsidP="00AE50B1"/>
    <w:p w:rsidR="00D471C8" w:rsidRDefault="00881125" w:rsidP="00881125">
      <w:r w:rsidRPr="000B3859">
        <w:t xml:space="preserve">A “new” troubling factor is the significant number of students that failed the course due to quitting (FQ).  The number of students quitting the course doubled from the previous tracked </w:t>
      </w:r>
      <w:r w:rsidR="000F6FDD">
        <w:t xml:space="preserve">fall </w:t>
      </w:r>
      <w:r w:rsidRPr="000B3859">
        <w:t>semester.</w:t>
      </w:r>
      <w:r>
        <w:t xml:space="preserve"> </w:t>
      </w:r>
    </w:p>
    <w:p w:rsidR="00881125" w:rsidRDefault="00881125" w:rsidP="00881125">
      <w:r>
        <w:t xml:space="preserve"> </w:t>
      </w:r>
    </w:p>
    <w:p w:rsidR="00B031E4" w:rsidRPr="00B031E4" w:rsidRDefault="00854374" w:rsidP="00B031E4">
      <w:r>
        <w:rPr>
          <w:noProof/>
        </w:rPr>
        <w:drawing>
          <wp:anchor distT="0" distB="0" distL="114300" distR="114300" simplePos="0" relativeHeight="251663360" behindDoc="0" locked="0" layoutInCell="1" allowOverlap="1">
            <wp:simplePos x="0" y="0"/>
            <wp:positionH relativeFrom="margin">
              <wp:posOffset>3533775</wp:posOffset>
            </wp:positionH>
            <wp:positionV relativeFrom="margin">
              <wp:posOffset>9525</wp:posOffset>
            </wp:positionV>
            <wp:extent cx="2933700" cy="2743200"/>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031E4">
        <w:t xml:space="preserve">Overall, of those students that </w:t>
      </w:r>
      <w:r w:rsidR="00B031E4" w:rsidRPr="004F033B">
        <w:rPr>
          <w:u w:val="single"/>
        </w:rPr>
        <w:t>stayed in the course</w:t>
      </w:r>
      <w:r w:rsidR="00B031E4">
        <w:t xml:space="preserve"> the entire semester and </w:t>
      </w:r>
      <w:r w:rsidR="00B031E4" w:rsidRPr="00C34CD4">
        <w:rPr>
          <w:b/>
        </w:rPr>
        <w:t>took the final</w:t>
      </w:r>
      <w:r w:rsidRPr="000B3859">
        <w:t>, 87</w:t>
      </w:r>
      <w:r w:rsidR="00B031E4" w:rsidRPr="000B3859">
        <w:t>%</w:t>
      </w:r>
      <w:r w:rsidR="00B031E4">
        <w:t xml:space="preserve"> successfully passed the course. (See chart to the right).</w:t>
      </w:r>
      <w:r w:rsidR="00B031E4" w:rsidRPr="00B43C3D">
        <w:rPr>
          <w:b/>
        </w:rPr>
        <w:t xml:space="preserve"> </w:t>
      </w:r>
      <w:r w:rsidR="00B031E4">
        <w:t xml:space="preserve"> </w:t>
      </w:r>
      <w:r w:rsidR="004A715D">
        <w:t xml:space="preserve">This is a </w:t>
      </w:r>
      <w:r>
        <w:rPr>
          <w:b/>
        </w:rPr>
        <w:t>25</w:t>
      </w:r>
      <w:r w:rsidR="004A715D" w:rsidRPr="004A715D">
        <w:rPr>
          <w:b/>
        </w:rPr>
        <w:t>% increase</w:t>
      </w:r>
      <w:r w:rsidR="004A715D">
        <w:t xml:space="preserve"> from last fall semester.  </w:t>
      </w:r>
      <w:r w:rsidR="00B031E4">
        <w:t>While this may be a statistic that is not lo</w:t>
      </w:r>
      <w:r w:rsidR="002E36C7">
        <w:t>oked upon favorably</w:t>
      </w:r>
      <w:r w:rsidR="00B031E4">
        <w:t xml:space="preserve"> or for the most part, even regarded as it ignores a significant number of students (those students </w:t>
      </w:r>
      <w:r w:rsidR="00D471C8">
        <w:t>withdrawing or ceasing attendance</w:t>
      </w:r>
      <w:r w:rsidR="00B031E4">
        <w:t>)</w:t>
      </w:r>
      <w:r w:rsidR="00D0106F">
        <w:t>, it d</w:t>
      </w:r>
      <w:r w:rsidR="002E36C7">
        <w:t>oes need to be viewed in context</w:t>
      </w:r>
      <w:r w:rsidR="00D0106F">
        <w:t xml:space="preserve"> for future planning with sequential courses.  </w:t>
      </w:r>
      <w:r w:rsidR="002E36C7">
        <w:t>For example, h</w:t>
      </w:r>
      <w:r w:rsidR="00D0106F">
        <w:t>ow many sections of th</w:t>
      </w:r>
      <w:r w:rsidR="002E36C7">
        <w:t>e next sequential math course are</w:t>
      </w:r>
      <w:r w:rsidR="00D0106F">
        <w:t xml:space="preserve"> needed for Math 102, Math 108 and Math 109 without being able to realistically refer to a </w:t>
      </w:r>
      <w:r w:rsidR="002E36C7">
        <w:t>statistical number from a trend?</w:t>
      </w:r>
    </w:p>
    <w:p w:rsidR="009A665F" w:rsidRDefault="009A665F" w:rsidP="00AE50B1">
      <w:pPr>
        <w:rPr>
          <w:b/>
        </w:rPr>
      </w:pPr>
    </w:p>
    <w:p w:rsidR="009A665F" w:rsidRDefault="00CF1450" w:rsidP="00AE50B1">
      <w:r>
        <w:t>Nationally, the pass rates hover between 35 – 45%</w:t>
      </w:r>
      <w:r w:rsidR="00584017">
        <w:t xml:space="preserve"> depending on the article that you may be reading.  NCAT (National Center for Academic Transformation) puts the national pass rate at 42%.</w:t>
      </w:r>
    </w:p>
    <w:p w:rsidR="00584017" w:rsidRPr="00CF1450" w:rsidRDefault="00584017" w:rsidP="00AE50B1"/>
    <w:p w:rsidR="009A665F" w:rsidRDefault="00584017" w:rsidP="00AE50B1">
      <w:r>
        <w:t>Cleveland State C.C. (2009) and Jackson State C.C. (2010) both have won the prestigious Bellwether Award (the Bellwether Awards have been</w:t>
      </w:r>
      <w:r w:rsidR="00D471C8">
        <w:t xml:space="preserve"> compared to college football’s </w:t>
      </w:r>
      <w:r>
        <w:t>Heisman Trophy because they are competitively judged by peers in the community college space) for their achievements in course redesign within their mathematics departments for developmental math.</w:t>
      </w:r>
    </w:p>
    <w:p w:rsidR="00584017" w:rsidRDefault="00584017" w:rsidP="00AE50B1"/>
    <w:p w:rsidR="00584017" w:rsidRDefault="00584017" w:rsidP="00AE50B1">
      <w:r>
        <w:t>The pass rate for Cleveland State C.C. was 72% and for Jackson State C.C. it was 63%.</w:t>
      </w:r>
    </w:p>
    <w:p w:rsidR="00584017" w:rsidRDefault="00584017" w:rsidP="00AE50B1"/>
    <w:p w:rsidR="00584017" w:rsidRDefault="00584017" w:rsidP="00AE50B1">
      <w:r>
        <w:t xml:space="preserve">These are the schools that are the models for redesigning developmental math – they are both mentioned at </w:t>
      </w:r>
      <w:r w:rsidR="00D471C8">
        <w:t>nearly every conference</w:t>
      </w:r>
      <w:r w:rsidR="00E70C10">
        <w:t xml:space="preserve"> – they are referred to in many peer reviewed</w:t>
      </w:r>
      <w:r>
        <w:t xml:space="preserve"> article</w:t>
      </w:r>
      <w:r w:rsidR="00E70C10">
        <w:t>s</w:t>
      </w:r>
      <w:r>
        <w:t>.  The Bill and Melinda Gates foundation hold them as the example for the rest to model after.</w:t>
      </w:r>
    </w:p>
    <w:p w:rsidR="00584017" w:rsidRDefault="00584017" w:rsidP="00AE50B1"/>
    <w:p w:rsidR="00584017" w:rsidRDefault="00E70C10" w:rsidP="00AE50B1">
      <w:r>
        <w:t>Trinity’s pedagogical</w:t>
      </w:r>
      <w:r w:rsidR="00854374">
        <w:t xml:space="preserve"> model for Math 101S can be replicated with similar success across different instructors.  </w:t>
      </w:r>
      <w:r w:rsidR="002943A4">
        <w:t>Our pass rates include three sections taught by two adjuncts – adjuncts that have not had the benefit or training from the various conferences or membership in NADE (National Association of Developmental Educators) and their publications.</w:t>
      </w:r>
    </w:p>
    <w:p w:rsidR="002943A4" w:rsidRDefault="002943A4" w:rsidP="00AE50B1"/>
    <w:p w:rsidR="002943A4" w:rsidRDefault="00B7529E" w:rsidP="00AE50B1">
      <w:r>
        <w:t>Currently our pass rates are higher than any other school that is teaching a similar course –regardless of demographics and/or placement scores.</w:t>
      </w:r>
    </w:p>
    <w:p w:rsidR="00B7529E" w:rsidRDefault="00B7529E" w:rsidP="00AE50B1"/>
    <w:p w:rsidR="002943A4" w:rsidRPr="00584017" w:rsidRDefault="002943A4" w:rsidP="00AE50B1"/>
    <w:p w:rsidR="009A665F" w:rsidRDefault="009A665F" w:rsidP="00AE50B1">
      <w:pPr>
        <w:rPr>
          <w:b/>
        </w:rPr>
      </w:pPr>
    </w:p>
    <w:p w:rsidR="009A665F" w:rsidRDefault="009A665F" w:rsidP="00AE50B1">
      <w:pPr>
        <w:rPr>
          <w:b/>
        </w:rPr>
      </w:pPr>
    </w:p>
    <w:p w:rsidR="00AD71EA" w:rsidRPr="00444639" w:rsidRDefault="00B7529E" w:rsidP="00AE50B1">
      <w:pPr>
        <w:rPr>
          <w:b/>
        </w:rPr>
      </w:pPr>
      <w:r>
        <w:rPr>
          <w:b/>
          <w:noProof/>
        </w:rPr>
        <w:lastRenderedPageBreak/>
        <w:drawing>
          <wp:anchor distT="0" distB="0" distL="114300" distR="114300" simplePos="0" relativeHeight="251664384" behindDoc="0" locked="0" layoutInCell="1" allowOverlap="1">
            <wp:simplePos x="0" y="0"/>
            <wp:positionH relativeFrom="margin">
              <wp:posOffset>3286125</wp:posOffset>
            </wp:positionH>
            <wp:positionV relativeFrom="margin">
              <wp:posOffset>28575</wp:posOffset>
            </wp:positionV>
            <wp:extent cx="3181350" cy="2724150"/>
            <wp:effectExtent l="0" t="0" r="0" b="0"/>
            <wp:wrapSquare wrapText="bothSides"/>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41499">
        <w:rPr>
          <w:b/>
        </w:rPr>
        <w:t>-Retention Numbers</w:t>
      </w:r>
      <w:r w:rsidR="008D51D7">
        <w:rPr>
          <w:b/>
        </w:rPr>
        <w:t xml:space="preserve"> </w:t>
      </w:r>
    </w:p>
    <w:p w:rsidR="00AD71EA" w:rsidRPr="00AD71EA" w:rsidRDefault="00AD71EA" w:rsidP="00AE50B1"/>
    <w:p w:rsidR="00AD71EA" w:rsidRDefault="00F41499" w:rsidP="00F41499">
      <w:r>
        <w:t xml:space="preserve">Of all students that were registered for Math 101S for the </w:t>
      </w:r>
      <w:r w:rsidR="002E36C7">
        <w:t>Fall</w:t>
      </w:r>
      <w:r w:rsidR="00B7529E">
        <w:t xml:space="preserve"> 2012</w:t>
      </w:r>
      <w:r w:rsidR="002E36C7">
        <w:t xml:space="preserve"> semester</w:t>
      </w:r>
      <w:r w:rsidR="00E70C10" w:rsidRPr="000B3859">
        <w:t>,</w:t>
      </w:r>
      <w:r w:rsidR="00B7529E" w:rsidRPr="000B3859">
        <w:t xml:space="preserve"> 84</w:t>
      </w:r>
      <w:r w:rsidR="00E70C10" w:rsidRPr="000B3859">
        <w:t>%</w:t>
      </w:r>
      <w:r w:rsidRPr="000B3859">
        <w:t>,</w:t>
      </w:r>
      <w:r>
        <w:t xml:space="preserve"> regardless of the grade they received in the class, re-registered for the</w:t>
      </w:r>
      <w:r w:rsidR="00B7529E">
        <w:t xml:space="preserve"> following semester, Spring 2013</w:t>
      </w:r>
      <w:r w:rsidR="002E36C7">
        <w:t>,</w:t>
      </w:r>
      <w:r>
        <w:t xml:space="preserve"> as seen in the circle graph to the right.</w:t>
      </w:r>
    </w:p>
    <w:p w:rsidR="00AB0A45" w:rsidRDefault="00AB0A45" w:rsidP="00F41499"/>
    <w:p w:rsidR="00444639" w:rsidRDefault="00AB0A45" w:rsidP="00F41499">
      <w:r>
        <w:t xml:space="preserve">Math 101S is </w:t>
      </w:r>
      <w:r w:rsidR="00B7529E">
        <w:t xml:space="preserve">clearly </w:t>
      </w:r>
      <w:r>
        <w:t xml:space="preserve">NOT the barrier course for </w:t>
      </w:r>
      <w:r w:rsidR="00444639">
        <w:t xml:space="preserve">incoming freshman at Trinity. </w:t>
      </w:r>
    </w:p>
    <w:p w:rsidR="00444639" w:rsidRDefault="00444639" w:rsidP="00F41499"/>
    <w:p w:rsidR="00444639" w:rsidRDefault="00444639" w:rsidP="00F41499">
      <w:r>
        <w:t>The</w:t>
      </w:r>
      <w:r w:rsidR="00AB0A45">
        <w:t xml:space="preserve"> objective</w:t>
      </w:r>
      <w:r w:rsidR="002E36C7">
        <w:t xml:space="preserve">s for re-writing </w:t>
      </w:r>
      <w:r w:rsidR="00AB0A45">
        <w:t>the Math 101S course content and curriculum</w:t>
      </w:r>
      <w:r>
        <w:t xml:space="preserve"> </w:t>
      </w:r>
      <w:r w:rsidR="002E36C7">
        <w:t xml:space="preserve">in its entirety </w:t>
      </w:r>
      <w:r>
        <w:t>during the summer of 2010</w:t>
      </w:r>
      <w:r w:rsidR="00AB0A45">
        <w:t xml:space="preserve"> was to</w:t>
      </w:r>
      <w:r>
        <w:t xml:space="preserve"> (1) improve retention, (2) maintain math course content integrity and (3)</w:t>
      </w:r>
      <w:r w:rsidR="00AB0A45">
        <w:t xml:space="preserve"> improve and build the student’s self-efficacy.  </w:t>
      </w:r>
    </w:p>
    <w:p w:rsidR="00444639" w:rsidRDefault="00444639" w:rsidP="00F41499"/>
    <w:p w:rsidR="00AB0A45" w:rsidRDefault="00AB0A45" w:rsidP="00F41499">
      <w:r>
        <w:t>This</w:t>
      </w:r>
      <w:r w:rsidR="00B7529E">
        <w:t xml:space="preserve"> objective has clearly been met two years in a row as the Fall 2011 to Spring 2012 retention registration was 79%.</w:t>
      </w:r>
    </w:p>
    <w:p w:rsidR="001E3336" w:rsidRDefault="001E3336" w:rsidP="00F41499"/>
    <w:p w:rsidR="001E3336" w:rsidRDefault="001E3336" w:rsidP="00F41499"/>
    <w:p w:rsidR="001E3336" w:rsidRDefault="001E3336" w:rsidP="00F41499"/>
    <w:p w:rsidR="004F133C" w:rsidRDefault="004F133C" w:rsidP="00F41499"/>
    <w:p w:rsidR="009B4646" w:rsidRDefault="009B4646">
      <w:pPr>
        <w:rPr>
          <w:b/>
        </w:rPr>
      </w:pPr>
    </w:p>
    <w:p w:rsidR="00A438DB" w:rsidRDefault="00DA2E34">
      <w:pPr>
        <w:rPr>
          <w:b/>
        </w:rPr>
      </w:pPr>
      <w:r>
        <w:rPr>
          <w:b/>
        </w:rPr>
        <w:t>-Percent of Studen</w:t>
      </w:r>
      <w:r w:rsidR="005B2985">
        <w:rPr>
          <w:b/>
        </w:rPr>
        <w:t>ts R</w:t>
      </w:r>
      <w:r>
        <w:rPr>
          <w:b/>
        </w:rPr>
        <w:t>egistered for Math 101S</w:t>
      </w:r>
      <w:r w:rsidR="00E70C10">
        <w:rPr>
          <w:b/>
        </w:rPr>
        <w:t xml:space="preserve"> for Spring 2013</w:t>
      </w:r>
    </w:p>
    <w:p w:rsidR="00DA2E34" w:rsidRDefault="00DA2E34">
      <w:pPr>
        <w:rPr>
          <w:b/>
        </w:rPr>
      </w:pPr>
    </w:p>
    <w:p w:rsidR="00CB3CD5" w:rsidRDefault="00CB3CD5">
      <w:r>
        <w:rPr>
          <w:noProof/>
        </w:rPr>
        <w:drawing>
          <wp:anchor distT="0" distB="0" distL="114300" distR="114300" simplePos="0" relativeHeight="251665408" behindDoc="0" locked="0" layoutInCell="1" allowOverlap="1">
            <wp:simplePos x="0" y="0"/>
            <wp:positionH relativeFrom="margin">
              <wp:posOffset>2895600</wp:posOffset>
            </wp:positionH>
            <wp:positionV relativeFrom="margin">
              <wp:posOffset>4600575</wp:posOffset>
            </wp:positionV>
            <wp:extent cx="3571875" cy="2743200"/>
            <wp:effectExtent l="0" t="0" r="0" b="0"/>
            <wp:wrapSquare wrapText="bothSides"/>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t xml:space="preserve">Math 101S, Introductory Algebra has a significant impact on the success (or failure) for the vast majority of incoming freshman to Trinity.  Most students bring with them either </w:t>
      </w:r>
      <w:r w:rsidR="007C4DC5">
        <w:t>hatred</w:t>
      </w:r>
      <w:r>
        <w:t xml:space="preserve"> or a fear of math</w:t>
      </w:r>
      <w:r w:rsidR="007C4DC5">
        <w:t>.</w:t>
      </w:r>
      <w:r>
        <w:t xml:space="preserve">  These feelings are changed by the end of the semester for most of the students.</w:t>
      </w:r>
    </w:p>
    <w:p w:rsidR="00CB3CD5" w:rsidRDefault="00CB3CD5"/>
    <w:p w:rsidR="00DA2E34" w:rsidRDefault="005F6967">
      <w:r>
        <w:t xml:space="preserve">The incoming class of </w:t>
      </w:r>
      <w:r w:rsidRPr="000B3859">
        <w:t>2016 (Red Class</w:t>
      </w:r>
      <w:r>
        <w:t>) showed that 66% of the entire class (n = 259</w:t>
      </w:r>
      <w:r w:rsidR="00DA2E34">
        <w:t>) tested into Math 101S with their Accuplacer scores.  The remaining 35% of the class registered in math courses other than Math 101S.</w:t>
      </w:r>
    </w:p>
    <w:p w:rsidR="00DA2E34" w:rsidRDefault="00DA2E34"/>
    <w:p w:rsidR="00A438DB" w:rsidRPr="00BA5EEB" w:rsidRDefault="005F6967">
      <w:r>
        <w:t>Of the 66</w:t>
      </w:r>
      <w:r w:rsidR="007C4DC5">
        <w:t>% of</w:t>
      </w:r>
      <w:r w:rsidR="00E70C10">
        <w:t xml:space="preserve"> the </w:t>
      </w:r>
      <w:r w:rsidR="00E70C10" w:rsidRPr="000B3859">
        <w:t>Red</w:t>
      </w:r>
      <w:r w:rsidR="00CB3CD5">
        <w:t xml:space="preserve"> class that were </w:t>
      </w:r>
      <w:r w:rsidR="005B2985">
        <w:t>enrolled in Math 101S</w:t>
      </w:r>
      <w:r w:rsidR="00CB3CD5">
        <w:t xml:space="preserve"> (171</w:t>
      </w:r>
      <w:r w:rsidR="00DA2E34">
        <w:t xml:space="preserve"> s</w:t>
      </w:r>
      <w:r w:rsidR="00B7529E">
        <w:t>tudents)</w:t>
      </w:r>
      <w:r w:rsidR="00CB3CD5">
        <w:t xml:space="preserve"> for the fall semester</w:t>
      </w:r>
      <w:r w:rsidR="00B7529E">
        <w:t>, 84</w:t>
      </w:r>
      <w:r w:rsidR="00CB3CD5">
        <w:t>% of them (161</w:t>
      </w:r>
      <w:r w:rsidR="00DA2E34">
        <w:t xml:space="preserve"> students</w:t>
      </w:r>
      <w:r w:rsidR="00E724E5">
        <w:t xml:space="preserve">) have </w:t>
      </w:r>
      <w:r w:rsidR="00DA2E34">
        <w:t>re-registered for the Spring 2012 semester.</w:t>
      </w:r>
    </w:p>
    <w:p w:rsidR="003454F2" w:rsidRDefault="003454F2" w:rsidP="00DD2AB4">
      <w:pPr>
        <w:jc w:val="center"/>
        <w:rPr>
          <w:b/>
        </w:rPr>
      </w:pPr>
    </w:p>
    <w:p w:rsidR="00703E41" w:rsidRDefault="00703E41" w:rsidP="00DD2AB4">
      <w:pPr>
        <w:jc w:val="center"/>
        <w:rPr>
          <w:b/>
          <w:sz w:val="28"/>
          <w:szCs w:val="28"/>
        </w:rPr>
      </w:pPr>
    </w:p>
    <w:p w:rsidR="00EA7FAD" w:rsidRPr="00DD2AB4" w:rsidRDefault="00DD2AB4" w:rsidP="00DD2AB4">
      <w:pPr>
        <w:jc w:val="center"/>
        <w:rPr>
          <w:b/>
          <w:sz w:val="28"/>
          <w:szCs w:val="28"/>
        </w:rPr>
      </w:pPr>
      <w:r w:rsidRPr="00DD2AB4">
        <w:rPr>
          <w:b/>
          <w:sz w:val="28"/>
          <w:szCs w:val="28"/>
        </w:rPr>
        <w:lastRenderedPageBreak/>
        <w:t>Comparison of the Final Overall Grade to the Final Exam – Math 101S</w:t>
      </w:r>
    </w:p>
    <w:p w:rsidR="00EA7FAD" w:rsidRDefault="00BA5EEB" w:rsidP="005B6869">
      <w:pPr>
        <w:rPr>
          <w:b/>
        </w:rPr>
      </w:pPr>
      <w:r>
        <w:rPr>
          <w:b/>
          <w:noProof/>
        </w:rPr>
        <w:drawing>
          <wp:anchor distT="0" distB="0" distL="114300" distR="114300" simplePos="0" relativeHeight="251692032" behindDoc="0" locked="0" layoutInCell="1" allowOverlap="1">
            <wp:simplePos x="0" y="0"/>
            <wp:positionH relativeFrom="margin">
              <wp:align>center</wp:align>
            </wp:positionH>
            <wp:positionV relativeFrom="margin">
              <wp:posOffset>714375</wp:posOffset>
            </wp:positionV>
            <wp:extent cx="6762750" cy="3467100"/>
            <wp:effectExtent l="19050" t="0" r="19050" b="0"/>
            <wp:wrapSquare wrapText="bothSides"/>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A18D8" w:rsidRDefault="00CA18D8" w:rsidP="00047FEA"/>
    <w:p w:rsidR="00CA18D8" w:rsidRDefault="00CA18D8" w:rsidP="00EA3FBC">
      <w:pPr>
        <w:jc w:val="center"/>
      </w:pPr>
    </w:p>
    <w:p w:rsidR="003454F2" w:rsidRDefault="003454F2" w:rsidP="00301719"/>
    <w:p w:rsidR="003454F2" w:rsidRDefault="003454F2" w:rsidP="00301719"/>
    <w:p w:rsidR="003C79E3" w:rsidRDefault="00DE453F" w:rsidP="00301719">
      <w:r>
        <w:t>The line graph above</w:t>
      </w:r>
      <w:r w:rsidR="00C20C27">
        <w:t xml:space="preserve"> shows a comparison of each student’s grade</w:t>
      </w:r>
      <w:r w:rsidR="00301719">
        <w:t xml:space="preserve"> in the c</w:t>
      </w:r>
      <w:r w:rsidR="00C20C27">
        <w:t>ourse to their Final Exam grade</w:t>
      </w:r>
      <w:r w:rsidR="00301719">
        <w:t xml:space="preserve">.  The raw data may also be found in the Excel spreadsheets in the </w:t>
      </w:r>
      <w:r w:rsidR="00C8288A">
        <w:t>appendices</w:t>
      </w:r>
      <w:r>
        <w:t xml:space="preserve">.  Data </w:t>
      </w:r>
      <w:r w:rsidR="00D6393A">
        <w:t>shows</w:t>
      </w:r>
      <w:r>
        <w:t xml:space="preserve"> that there</w:t>
      </w:r>
      <w:r w:rsidR="00301719">
        <w:t xml:space="preserve"> is no significant difference between a student’s overall course grade and the final exam grade.  Any variance </w:t>
      </w:r>
      <w:r w:rsidR="00301719" w:rsidRPr="00301719">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19" o:title=""/>
          </v:shape>
          <o:OLEObject Type="Embed" ProgID="Equation.3" ShapeID="_x0000_i1025" DrawAspect="Content" ObjectID="_1457530872" r:id="rId20"/>
        </w:object>
      </w:r>
      <w:r w:rsidR="00301719">
        <w:t xml:space="preserve"> 2.00 would show that the exam was incon</w:t>
      </w:r>
      <w:r w:rsidR="00D6393A">
        <w:t>sistent with the course content</w:t>
      </w:r>
      <w:r w:rsidR="00301719">
        <w:t xml:space="preserve"> and that the exam was either too easy with a positive </w:t>
      </w:r>
      <w:r w:rsidR="00C8288A">
        <w:t>variance</w:t>
      </w:r>
      <w:r w:rsidR="00301719">
        <w:t xml:space="preserve"> or too difficult with a negative </w:t>
      </w:r>
      <w:r w:rsidR="00C8288A">
        <w:t>variance</w:t>
      </w:r>
      <w:r w:rsidR="00301719">
        <w:t xml:space="preserve">.  </w:t>
      </w:r>
    </w:p>
    <w:p w:rsidR="003C79E3" w:rsidRDefault="003C79E3" w:rsidP="00301719"/>
    <w:p w:rsidR="003C79E3" w:rsidRDefault="00301719" w:rsidP="00301719">
      <w:r>
        <w:t xml:space="preserve">The </w:t>
      </w:r>
      <w:r w:rsidR="00C8288A">
        <w:t>variance</w:t>
      </w:r>
      <w:r w:rsidR="003454F2">
        <w:t xml:space="preserve"> for this semester was +0.3</w:t>
      </w:r>
      <w:r w:rsidR="001841D5">
        <w:t>.  Last semester</w:t>
      </w:r>
      <w:r w:rsidR="00D6393A">
        <w:t>,</w:t>
      </w:r>
      <w:r w:rsidR="001841D5">
        <w:t xml:space="preserve"> </w:t>
      </w:r>
      <w:r w:rsidR="003454F2">
        <w:t>the variance was +1.008.  Both years, with the same exam five different instructors shows that the variance stays within the margins</w:t>
      </w:r>
      <w:r w:rsidR="00C8288A">
        <w:t xml:space="preserve">  </w:t>
      </w:r>
      <w:r w:rsidR="003454F2">
        <w:t xml:space="preserve">This course is not reliant on the personality of the instructor as much as it is with the pedagogy and the method of presenting the material.  </w:t>
      </w:r>
      <w:r w:rsidR="00BA5EEB">
        <w:t>This</w:t>
      </w:r>
      <w:r w:rsidR="003C79E3">
        <w:t xml:space="preserve"> also shows that the course can be duplicated and presented by other instructors.</w:t>
      </w:r>
    </w:p>
    <w:p w:rsidR="003C79E3" w:rsidRDefault="003C79E3" w:rsidP="00301719"/>
    <w:p w:rsidR="00CA18D8" w:rsidRPr="00301719" w:rsidRDefault="00C8288A" w:rsidP="00301719">
      <w:r>
        <w:t>This statistic shows that the final exam is consistent with the course content as presented in lectures and differentiated learning models through</w:t>
      </w:r>
      <w:r w:rsidR="00DE453F">
        <w:t>out</w:t>
      </w:r>
      <w:r w:rsidR="00C20C27">
        <w:t xml:space="preserve"> the semester.  Students’</w:t>
      </w:r>
      <w:r>
        <w:t xml:space="preserve"> overall grades prior to the final exams show no significant changes.  To ensure test integrity, six separate exams were given during the week of finals.</w:t>
      </w:r>
    </w:p>
    <w:p w:rsidR="00CA18D8" w:rsidRDefault="00CA18D8" w:rsidP="00EA3FBC">
      <w:pPr>
        <w:jc w:val="center"/>
      </w:pPr>
    </w:p>
    <w:p w:rsidR="00AD5663" w:rsidRDefault="00B10B34" w:rsidP="00AD5663">
      <w:pPr>
        <w:jc w:val="center"/>
        <w:rPr>
          <w:b/>
          <w:sz w:val="28"/>
          <w:szCs w:val="28"/>
        </w:rPr>
      </w:pPr>
      <w:r>
        <w:rPr>
          <w:b/>
          <w:noProof/>
          <w:sz w:val="28"/>
          <w:szCs w:val="28"/>
        </w:rPr>
        <w:lastRenderedPageBreak/>
        <w:drawing>
          <wp:anchor distT="0" distB="0" distL="114300" distR="114300" simplePos="0" relativeHeight="251693056" behindDoc="0" locked="0" layoutInCell="1" allowOverlap="1">
            <wp:simplePos x="0" y="0"/>
            <wp:positionH relativeFrom="margin">
              <wp:posOffset>-561975</wp:posOffset>
            </wp:positionH>
            <wp:positionV relativeFrom="margin">
              <wp:posOffset>390525</wp:posOffset>
            </wp:positionV>
            <wp:extent cx="6962775" cy="3048000"/>
            <wp:effectExtent l="19050" t="0" r="9525" b="0"/>
            <wp:wrapSquare wrapText="bothSides"/>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AD5663">
        <w:rPr>
          <w:b/>
          <w:sz w:val="28"/>
          <w:szCs w:val="28"/>
        </w:rPr>
        <w:t>MyMathLab Diagnostic Test Results – Math 101S</w:t>
      </w:r>
    </w:p>
    <w:p w:rsidR="00B10B34" w:rsidRDefault="00B10B34" w:rsidP="00AD5663">
      <w:pPr>
        <w:jc w:val="center"/>
        <w:rPr>
          <w:b/>
          <w:sz w:val="28"/>
          <w:szCs w:val="28"/>
        </w:rPr>
      </w:pPr>
    </w:p>
    <w:p w:rsidR="00AD5663" w:rsidRDefault="00AD5663" w:rsidP="00AD5663">
      <w:pPr>
        <w:jc w:val="center"/>
        <w:rPr>
          <w:b/>
          <w:sz w:val="28"/>
          <w:szCs w:val="28"/>
        </w:rPr>
      </w:pPr>
    </w:p>
    <w:p w:rsidR="00AD5663" w:rsidRDefault="00AD5663" w:rsidP="00012A72">
      <w:pPr>
        <w:rPr>
          <w:b/>
        </w:rPr>
      </w:pPr>
    </w:p>
    <w:p w:rsidR="004D7FCB" w:rsidRDefault="007C4C48" w:rsidP="007C4C48">
      <w:r w:rsidRPr="003C522D">
        <w:t>The use of differentiated instructional methods, along with MyMathLab, is clear</w:t>
      </w:r>
      <w:r w:rsidR="00C20C27">
        <w:t>ly shown to be very successful i</w:t>
      </w:r>
      <w:r w:rsidRPr="003C522D">
        <w:t xml:space="preserve">n the </w:t>
      </w:r>
      <w:r>
        <w:t xml:space="preserve">above </w:t>
      </w:r>
      <w:r w:rsidRPr="003C522D">
        <w:t>line graph</w:t>
      </w:r>
      <w:r w:rsidR="00F5700B">
        <w:t>. With no exceptions</w:t>
      </w:r>
      <w:r w:rsidRPr="003C522D">
        <w:t xml:space="preserve">, every student </w:t>
      </w:r>
      <w:r w:rsidR="00F5700B">
        <w:t xml:space="preserve">that completed the course </w:t>
      </w:r>
      <w:r w:rsidRPr="003C522D">
        <w:t>made significant progress in their mathematical abilities regardless of the</w:t>
      </w:r>
      <w:r w:rsidR="00F5700B">
        <w:t xml:space="preserve">ir entry point into the course and their grade in the </w:t>
      </w:r>
      <w:r w:rsidR="004D7FCB">
        <w:t>course</w:t>
      </w:r>
      <w:r w:rsidR="00B10B34">
        <w:t>.</w:t>
      </w:r>
    </w:p>
    <w:p w:rsidR="002577F3" w:rsidRDefault="00F5700B" w:rsidP="007C4C48">
      <w:r>
        <w:t>.</w:t>
      </w:r>
    </w:p>
    <w:p w:rsidR="002577F3" w:rsidRDefault="002577F3" w:rsidP="007C4C48"/>
    <w:p w:rsidR="002577F3" w:rsidRDefault="007C4C48" w:rsidP="007C4C48">
      <w:r w:rsidRPr="003C522D">
        <w:t>Instr</w:t>
      </w:r>
      <w:r w:rsidR="00C84ACA">
        <w:t>uctional strategies</w:t>
      </w:r>
      <w:r w:rsidRPr="003C522D">
        <w:t xml:space="preserve"> were based on the assessed needs of each student.  Mond</w:t>
      </w:r>
      <w:r w:rsidR="00C84ACA">
        <w:t>ay Mathematics</w:t>
      </w:r>
      <w:r w:rsidRPr="003C522D">
        <w:t xml:space="preserve"> assist</w:t>
      </w:r>
      <w:r w:rsidR="00B10B34">
        <w:t>ed</w:t>
      </w:r>
      <w:r w:rsidRPr="003C522D">
        <w:t xml:space="preserve"> students lacking both basic skills and confidence.  A </w:t>
      </w:r>
      <w:r w:rsidR="00C84ACA">
        <w:t xml:space="preserve">Math Computer Lab, </w:t>
      </w:r>
      <w:r w:rsidR="00C20C27">
        <w:t>initiated during the Fall 2010</w:t>
      </w:r>
      <w:r>
        <w:t xml:space="preserve"> semester</w:t>
      </w:r>
      <w:r w:rsidR="00C20C27">
        <w:t>,</w:t>
      </w:r>
      <w:r>
        <w:t xml:space="preserve"> was continued</w:t>
      </w:r>
      <w:r w:rsidRPr="003C522D">
        <w:t xml:space="preserve"> and staffed by stud</w:t>
      </w:r>
      <w:r w:rsidR="007570C6">
        <w:t>ent lab assistants (work study students</w:t>
      </w:r>
      <w:r w:rsidRPr="003C522D">
        <w:t xml:space="preserve">). </w:t>
      </w:r>
    </w:p>
    <w:p w:rsidR="002577F3" w:rsidRDefault="002577F3" w:rsidP="007C4C48"/>
    <w:p w:rsidR="002577F3" w:rsidRDefault="007C4C48" w:rsidP="007C4C48">
      <w:r w:rsidRPr="003C522D">
        <w:t>Daily and weekly quizzes were studied in detail to find and correct stud</w:t>
      </w:r>
      <w:r w:rsidR="00C20C27">
        <w:t>ents’</w:t>
      </w:r>
      <w:r w:rsidR="00C84ACA">
        <w:t xml:space="preserve"> faulty logic and</w:t>
      </w:r>
      <w:r w:rsidR="007A4BA4">
        <w:t xml:space="preserve"> frustration with</w:t>
      </w:r>
      <w:r w:rsidRPr="003C522D">
        <w:t xml:space="preserve"> </w:t>
      </w:r>
      <w:r>
        <w:t>mathematics</w:t>
      </w:r>
      <w:r w:rsidRPr="003C522D">
        <w:t>.  Tiered grouping assignments were arranged based on examination of quizzes,</w:t>
      </w:r>
      <w:r w:rsidR="007A4BA4">
        <w:t xml:space="preserve"> student interest, and students’</w:t>
      </w:r>
      <w:r w:rsidRPr="003C522D">
        <w:t xml:space="preserve"> previous experiences in a</w:t>
      </w:r>
      <w:r w:rsidR="00B90F5D">
        <w:t xml:space="preserve">lgebra.  </w:t>
      </w:r>
      <w:r w:rsidR="002577F3">
        <w:t>While this is a standardized course, quizzes (daily and/or weekly) and group in-class assignments are left to each instructor.</w:t>
      </w:r>
    </w:p>
    <w:p w:rsidR="002577F3" w:rsidRDefault="002577F3" w:rsidP="007C4C48"/>
    <w:p w:rsidR="007C4C48" w:rsidRDefault="002577F3" w:rsidP="007C4C48">
      <w:r>
        <w:t>All</w:t>
      </w:r>
      <w:r w:rsidR="004D7FCB">
        <w:t xml:space="preserve"> students, except 4 (4</w:t>
      </w:r>
      <w:r w:rsidR="007C4C48" w:rsidRPr="003C522D">
        <w:t xml:space="preserve">% of all students), had exceeded the base standard (using the </w:t>
      </w:r>
      <w:r w:rsidR="00C20C27">
        <w:t xml:space="preserve">pre-test </w:t>
      </w:r>
      <w:r w:rsidR="007C4C48" w:rsidRPr="003C522D">
        <w:t xml:space="preserve">average as the base standard) by the end of the semester.  The average </w:t>
      </w:r>
      <w:r>
        <w:t xml:space="preserve">increase </w:t>
      </w:r>
      <w:r w:rsidR="007C4C48" w:rsidRPr="003C522D">
        <w:t xml:space="preserve">for all students </w:t>
      </w:r>
      <w:r>
        <w:t>i</w:t>
      </w:r>
      <w:r w:rsidR="004D7FCB">
        <w:t xml:space="preserve">n all Math 101S classes was 32.3%.  </w:t>
      </w:r>
    </w:p>
    <w:p w:rsidR="004D7FCB" w:rsidRDefault="004D7FCB" w:rsidP="007C4C48"/>
    <w:p w:rsidR="004D7FCB" w:rsidRDefault="004D7FCB" w:rsidP="007C4C48"/>
    <w:p w:rsidR="00755FBF" w:rsidRDefault="00755FBF" w:rsidP="007C4C48"/>
    <w:p w:rsidR="00B10B34" w:rsidRDefault="00B10B34" w:rsidP="00755FBF">
      <w:pPr>
        <w:rPr>
          <w:b/>
        </w:rPr>
      </w:pPr>
    </w:p>
    <w:p w:rsidR="00755FBF" w:rsidRDefault="00B10B34" w:rsidP="00755FBF">
      <w:pPr>
        <w:rPr>
          <w:b/>
        </w:rPr>
      </w:pPr>
      <w:r>
        <w:rPr>
          <w:b/>
          <w:noProof/>
        </w:rPr>
        <w:lastRenderedPageBreak/>
        <w:drawing>
          <wp:anchor distT="0" distB="0" distL="114300" distR="114300" simplePos="0" relativeHeight="251682816" behindDoc="0" locked="0" layoutInCell="1" allowOverlap="1">
            <wp:simplePos x="0" y="0"/>
            <wp:positionH relativeFrom="margin">
              <wp:posOffset>3362325</wp:posOffset>
            </wp:positionH>
            <wp:positionV relativeFrom="margin">
              <wp:posOffset>85725</wp:posOffset>
            </wp:positionV>
            <wp:extent cx="3314700" cy="2743200"/>
            <wp:effectExtent l="0" t="0" r="0" b="0"/>
            <wp:wrapSquare wrapText="bothSides"/>
            <wp:docPr id="2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5FBF">
        <w:rPr>
          <w:b/>
        </w:rPr>
        <w:t>- Math 101 Instructors</w:t>
      </w:r>
      <w:r w:rsidR="00755FBF" w:rsidRPr="00A84736">
        <w:rPr>
          <w:noProof/>
        </w:rPr>
        <w:t xml:space="preserve"> </w:t>
      </w:r>
    </w:p>
    <w:p w:rsidR="00755FBF" w:rsidRDefault="00755FBF" w:rsidP="00755FBF">
      <w:pPr>
        <w:rPr>
          <w:b/>
        </w:rPr>
      </w:pPr>
    </w:p>
    <w:p w:rsidR="00755FBF" w:rsidRDefault="00755FBF" w:rsidP="00755FBF">
      <w:pPr>
        <w:rPr>
          <w:b/>
        </w:rPr>
      </w:pPr>
    </w:p>
    <w:p w:rsidR="00755FBF" w:rsidRDefault="00755FBF" w:rsidP="00755FBF">
      <w:r>
        <w:t>Four different instructors taught Math 101S for the Fall 2012 Semester.</w:t>
      </w:r>
    </w:p>
    <w:p w:rsidR="00755FBF" w:rsidRDefault="00755FBF" w:rsidP="00755FBF"/>
    <w:p w:rsidR="00755FBF" w:rsidRDefault="00755FBF" w:rsidP="00755FBF">
      <w:r>
        <w:t xml:space="preserve">A breakdown of the Pass, Fail and </w:t>
      </w:r>
      <w:r w:rsidR="00B10B34">
        <w:t>Withdrawal</w:t>
      </w:r>
      <w:r>
        <w:t xml:space="preserve"> rate for each is provided in the graphs below.</w:t>
      </w:r>
    </w:p>
    <w:p w:rsidR="00B10B34" w:rsidRDefault="00B10B34" w:rsidP="00755FBF"/>
    <w:p w:rsidR="00B10B34" w:rsidRDefault="00B10B34" w:rsidP="00755FBF">
      <w:r>
        <w:t>Overall there were 8 sections, n = 191.</w:t>
      </w:r>
    </w:p>
    <w:p w:rsidR="00755FBF" w:rsidRDefault="00755FBF" w:rsidP="00755FBF"/>
    <w:p w:rsidR="00755FBF" w:rsidRDefault="00755FBF" w:rsidP="00755FBF">
      <w:r>
        <w:t>Instructor A taught three sections, n = 72</w:t>
      </w:r>
    </w:p>
    <w:p w:rsidR="00755FBF" w:rsidRDefault="00755FBF" w:rsidP="00755FBF">
      <w:r>
        <w:t>Instructor B taught two sections, n = 47</w:t>
      </w:r>
    </w:p>
    <w:p w:rsidR="00755FBF" w:rsidRPr="00376BD8" w:rsidRDefault="00755FBF" w:rsidP="00755FBF">
      <w:r>
        <w:t>Instructor C taught one section, n = 26</w:t>
      </w:r>
    </w:p>
    <w:p w:rsidR="00755FBF" w:rsidRDefault="00755FBF" w:rsidP="00755FBF">
      <w:r>
        <w:t>Instructor D taught two sections, n = 46</w:t>
      </w:r>
    </w:p>
    <w:p w:rsidR="00755FBF" w:rsidRDefault="00755FBF" w:rsidP="00755FBF"/>
    <w:p w:rsidR="00755FBF" w:rsidRDefault="00755FBF" w:rsidP="00755FBF"/>
    <w:p w:rsidR="00755FBF" w:rsidRDefault="00755FBF" w:rsidP="00755FBF"/>
    <w:p w:rsidR="00755FBF" w:rsidRDefault="00755FBF" w:rsidP="00755FBF"/>
    <w:p w:rsidR="00755FBF" w:rsidRDefault="00755FBF" w:rsidP="00755FBF"/>
    <w:p w:rsidR="00755FBF" w:rsidRDefault="00755FBF" w:rsidP="00755FBF">
      <w:r w:rsidRPr="00DC7F8B">
        <w:rPr>
          <w:noProof/>
        </w:rPr>
        <w:t xml:space="preserve"> </w:t>
      </w:r>
    </w:p>
    <w:p w:rsidR="00755FBF" w:rsidRDefault="00755FBF" w:rsidP="00755FBF">
      <w:r>
        <w:rPr>
          <w:noProof/>
        </w:rPr>
        <w:drawing>
          <wp:anchor distT="0" distB="0" distL="114300" distR="114300" simplePos="0" relativeHeight="251684864" behindDoc="0" locked="0" layoutInCell="1" allowOverlap="1">
            <wp:simplePos x="0" y="0"/>
            <wp:positionH relativeFrom="margin">
              <wp:posOffset>3200400</wp:posOffset>
            </wp:positionH>
            <wp:positionV relativeFrom="margin">
              <wp:posOffset>3952875</wp:posOffset>
            </wp:positionV>
            <wp:extent cx="3019425" cy="1962150"/>
            <wp:effectExtent l="0" t="0" r="0" b="0"/>
            <wp:wrapSquare wrapText="bothSides"/>
            <wp:docPr id="2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55FBF" w:rsidRDefault="00755FBF" w:rsidP="00755FBF">
      <w:pPr>
        <w:rPr>
          <w:b/>
        </w:rPr>
      </w:pPr>
    </w:p>
    <w:p w:rsidR="00755FBF" w:rsidRDefault="00755FBF" w:rsidP="00755FBF">
      <w:pPr>
        <w:rPr>
          <w:b/>
        </w:rPr>
      </w:pPr>
      <w:r>
        <w:rPr>
          <w:b/>
          <w:noProof/>
        </w:rPr>
        <w:drawing>
          <wp:anchor distT="0" distB="0" distL="114300" distR="114300" simplePos="0" relativeHeight="251683840" behindDoc="0" locked="0" layoutInCell="1" allowOverlap="1">
            <wp:simplePos x="0" y="0"/>
            <wp:positionH relativeFrom="margin">
              <wp:posOffset>371475</wp:posOffset>
            </wp:positionH>
            <wp:positionV relativeFrom="margin">
              <wp:posOffset>3952875</wp:posOffset>
            </wp:positionV>
            <wp:extent cx="2828925" cy="1962150"/>
            <wp:effectExtent l="0" t="0" r="0" b="0"/>
            <wp:wrapSquare wrapText="bothSides"/>
            <wp:docPr id="3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55FBF" w:rsidRDefault="00755FBF">
      <w:r>
        <w:rPr>
          <w:noProof/>
        </w:rPr>
        <w:drawing>
          <wp:anchor distT="0" distB="0" distL="114300" distR="114300" simplePos="0" relativeHeight="251686912" behindDoc="0" locked="0" layoutInCell="1" allowOverlap="1">
            <wp:simplePos x="0" y="0"/>
            <wp:positionH relativeFrom="margin">
              <wp:posOffset>3200400</wp:posOffset>
            </wp:positionH>
            <wp:positionV relativeFrom="margin">
              <wp:posOffset>5915025</wp:posOffset>
            </wp:positionV>
            <wp:extent cx="3019425" cy="1962150"/>
            <wp:effectExtent l="0" t="0" r="0" b="0"/>
            <wp:wrapSquare wrapText="bothSides"/>
            <wp:docPr id="3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755FBF">
        <w:rPr>
          <w:noProof/>
        </w:rPr>
        <w:drawing>
          <wp:anchor distT="0" distB="0" distL="114300" distR="114300" simplePos="0" relativeHeight="251688960" behindDoc="0" locked="0" layoutInCell="1" allowOverlap="1">
            <wp:simplePos x="0" y="0"/>
            <wp:positionH relativeFrom="margin">
              <wp:posOffset>371475</wp:posOffset>
            </wp:positionH>
            <wp:positionV relativeFrom="margin">
              <wp:posOffset>5915025</wp:posOffset>
            </wp:positionV>
            <wp:extent cx="2828925" cy="1962150"/>
            <wp:effectExtent l="0" t="0" r="0" b="0"/>
            <wp:wrapSquare wrapText="bothSides"/>
            <wp:docPr id="3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br w:type="page"/>
      </w:r>
    </w:p>
    <w:p w:rsidR="004D7FCB" w:rsidRDefault="004D7FCB" w:rsidP="007C4C48"/>
    <w:p w:rsidR="004D7FCB" w:rsidRPr="003C522D" w:rsidRDefault="004D7FCB" w:rsidP="007C4C48"/>
    <w:p w:rsidR="006C292F" w:rsidRDefault="00C2599D" w:rsidP="006C292F">
      <w:pPr>
        <w:rPr>
          <w:b/>
        </w:rPr>
      </w:pPr>
      <w:r>
        <w:rPr>
          <w:b/>
          <w:noProof/>
        </w:rPr>
        <w:drawing>
          <wp:anchor distT="0" distB="0" distL="114300" distR="114300" simplePos="0" relativeHeight="251668480" behindDoc="0" locked="0" layoutInCell="1" allowOverlap="1">
            <wp:simplePos x="0" y="0"/>
            <wp:positionH relativeFrom="margin">
              <wp:posOffset>3162300</wp:posOffset>
            </wp:positionH>
            <wp:positionV relativeFrom="margin">
              <wp:posOffset>276225</wp:posOffset>
            </wp:positionV>
            <wp:extent cx="3333750" cy="3524250"/>
            <wp:effectExtent l="0" t="0" r="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FA7D24">
        <w:rPr>
          <w:b/>
        </w:rPr>
        <w:t>Math 102</w:t>
      </w:r>
    </w:p>
    <w:p w:rsidR="007C4C48" w:rsidRDefault="006C292F" w:rsidP="006C292F">
      <w:pPr>
        <w:pStyle w:val="Heading2"/>
        <w:rPr>
          <w:rFonts w:ascii="Times New Roman" w:hAnsi="Times New Roman"/>
          <w:i w:val="0"/>
          <w:sz w:val="24"/>
          <w:szCs w:val="24"/>
        </w:rPr>
      </w:pPr>
      <w:r w:rsidRPr="006C292F">
        <w:rPr>
          <w:rFonts w:ascii="Times New Roman" w:hAnsi="Times New Roman"/>
          <w:i w:val="0"/>
          <w:sz w:val="24"/>
          <w:szCs w:val="24"/>
        </w:rPr>
        <w:t>- Grade Distribution</w:t>
      </w:r>
    </w:p>
    <w:p w:rsidR="006C292F" w:rsidRDefault="006C292F" w:rsidP="006C292F">
      <w:pPr>
        <w:rPr>
          <w:lang w:bidi="en-US"/>
        </w:rPr>
      </w:pPr>
    </w:p>
    <w:p w:rsidR="006C292F" w:rsidRDefault="006C292F" w:rsidP="006C292F">
      <w:r w:rsidRPr="003C522D">
        <w:t>The pie char</w:t>
      </w:r>
      <w:r w:rsidR="00B10B34">
        <w:t>t to the right</w:t>
      </w:r>
      <w:r>
        <w:t xml:space="preserve"> </w:t>
      </w:r>
      <w:r w:rsidRPr="003C522D">
        <w:t>reflect</w:t>
      </w:r>
      <w:r w:rsidR="00B10B34">
        <w:t>s</w:t>
      </w:r>
      <w:r w:rsidRPr="003C522D">
        <w:t xml:space="preserve"> the grade distribution of the Math 102 class. Overall, of the students that stayed in the course the entire</w:t>
      </w:r>
      <w:r>
        <w:t xml:space="preserve"> semester and took the final</w:t>
      </w:r>
      <w:r w:rsidR="00903672">
        <w:t xml:space="preserve"> </w:t>
      </w:r>
      <w:r w:rsidR="007570C6">
        <w:t>exam</w:t>
      </w:r>
      <w:r w:rsidR="00C2599D">
        <w:t>, 83</w:t>
      </w:r>
      <w:r w:rsidRPr="003C522D">
        <w:t>% successfully pa</w:t>
      </w:r>
      <w:r w:rsidR="00C2599D">
        <w:t>ssed the course.  Three</w:t>
      </w:r>
      <w:r w:rsidR="007A4BA4">
        <w:t xml:space="preserve"> student</w:t>
      </w:r>
      <w:r w:rsidR="00C2599D">
        <w:t>s</w:t>
      </w:r>
      <w:r w:rsidR="007A4BA4">
        <w:t xml:space="preserve"> who</w:t>
      </w:r>
      <w:r w:rsidRPr="003C522D">
        <w:t xml:space="preserve"> took the final recei</w:t>
      </w:r>
      <w:r>
        <w:t xml:space="preserve">ved a failing grade.  </w:t>
      </w:r>
      <w:r w:rsidR="00C2599D">
        <w:t xml:space="preserve">One student that took the final received an F due to cheating. </w:t>
      </w:r>
      <w:r w:rsidR="00E60038">
        <w:t xml:space="preserve">  </w:t>
      </w:r>
    </w:p>
    <w:p w:rsidR="004450C5" w:rsidRDefault="004450C5" w:rsidP="006C292F"/>
    <w:p w:rsidR="004450C5" w:rsidRDefault="00C2599D" w:rsidP="006C292F">
      <w:r>
        <w:t>All students in the class had the proper prerequisites.</w:t>
      </w:r>
    </w:p>
    <w:p w:rsidR="004450C5" w:rsidRDefault="004450C5" w:rsidP="006C292F"/>
    <w:p w:rsidR="004450C5" w:rsidRPr="003C522D" w:rsidRDefault="00EA2AC9" w:rsidP="006C292F">
      <w:r>
        <w:t xml:space="preserve">What is interesting in this </w:t>
      </w:r>
      <w:r w:rsidR="00306F89">
        <w:t>class</w:t>
      </w:r>
      <w:r>
        <w:t xml:space="preserve"> is that there is an even distribution with the passing grades between students that placed into the course via Accuplacer and those that took Math 101S.  However all the students that received a grade of D or F had previously taken Math 101S and all of them, with no exception received the minimum passing grade of C in that course.</w:t>
      </w:r>
      <w:r w:rsidR="00B10B34">
        <w:t xml:space="preserve">  The repeaters (2 students) had</w:t>
      </w:r>
      <w:r w:rsidR="00306F89">
        <w:t xml:space="preserve"> taken the course more than twice and both withdrew again.</w:t>
      </w:r>
    </w:p>
    <w:p w:rsidR="006C292F" w:rsidRPr="006C292F" w:rsidRDefault="006C292F" w:rsidP="006C292F">
      <w:pPr>
        <w:rPr>
          <w:lang w:bidi="en-US"/>
        </w:rPr>
      </w:pPr>
    </w:p>
    <w:p w:rsidR="00D652AD" w:rsidRDefault="00D652AD" w:rsidP="00012A72"/>
    <w:p w:rsidR="00124A93" w:rsidRDefault="00124A93" w:rsidP="00012A72"/>
    <w:p w:rsidR="006C292F" w:rsidRDefault="006C292F" w:rsidP="00012A72"/>
    <w:p w:rsidR="006C292F" w:rsidRDefault="006C292F" w:rsidP="00012A72"/>
    <w:p w:rsidR="006C292F" w:rsidRDefault="006C292F" w:rsidP="00012A72"/>
    <w:p w:rsidR="006C292F" w:rsidRPr="00D652AD" w:rsidRDefault="006C292F" w:rsidP="00012A72"/>
    <w:p w:rsidR="006C292F" w:rsidRDefault="006C292F" w:rsidP="00012A72"/>
    <w:p w:rsidR="006C292F" w:rsidRPr="00E610A1" w:rsidRDefault="006C292F" w:rsidP="00012A72"/>
    <w:p w:rsidR="006C292F" w:rsidRDefault="006C292F" w:rsidP="00012A72"/>
    <w:p w:rsidR="006C292F" w:rsidRDefault="006C292F" w:rsidP="00012A72"/>
    <w:p w:rsidR="0056622F" w:rsidRDefault="0056622F" w:rsidP="00012A72"/>
    <w:p w:rsidR="0056622F" w:rsidRDefault="0056622F" w:rsidP="00012A72"/>
    <w:p w:rsidR="0056622F" w:rsidRDefault="0056622F" w:rsidP="00012A72"/>
    <w:p w:rsidR="00833B8D" w:rsidRDefault="00833B8D" w:rsidP="00012A72"/>
    <w:p w:rsidR="00833B8D" w:rsidRDefault="00833B8D" w:rsidP="00012A72"/>
    <w:p w:rsidR="00833B8D" w:rsidRDefault="00833B8D" w:rsidP="00012A72"/>
    <w:p w:rsidR="00E6746E" w:rsidRDefault="00E6746E" w:rsidP="00DC6C56">
      <w:pPr>
        <w:rPr>
          <w:noProof/>
        </w:rPr>
      </w:pPr>
    </w:p>
    <w:p w:rsidR="00E6746E" w:rsidRDefault="00E6746E" w:rsidP="00DC6C56">
      <w:pPr>
        <w:rPr>
          <w:noProof/>
        </w:rPr>
      </w:pPr>
    </w:p>
    <w:p w:rsidR="00306F89" w:rsidRDefault="00306F89" w:rsidP="00E6746E">
      <w:pPr>
        <w:jc w:val="center"/>
        <w:rPr>
          <w:b/>
          <w:noProof/>
          <w:sz w:val="28"/>
          <w:szCs w:val="28"/>
        </w:rPr>
      </w:pPr>
    </w:p>
    <w:p w:rsidR="00306F89" w:rsidRDefault="00306F89" w:rsidP="00E6746E">
      <w:pPr>
        <w:jc w:val="center"/>
        <w:rPr>
          <w:b/>
          <w:noProof/>
          <w:sz w:val="28"/>
          <w:szCs w:val="28"/>
        </w:rPr>
      </w:pPr>
    </w:p>
    <w:p w:rsidR="00E6746E" w:rsidRPr="00E6746E" w:rsidRDefault="00E6746E" w:rsidP="00E6746E">
      <w:pPr>
        <w:jc w:val="center"/>
        <w:rPr>
          <w:b/>
          <w:noProof/>
          <w:sz w:val="28"/>
          <w:szCs w:val="28"/>
        </w:rPr>
      </w:pPr>
      <w:r>
        <w:rPr>
          <w:b/>
          <w:noProof/>
          <w:sz w:val="28"/>
          <w:szCs w:val="28"/>
        </w:rPr>
        <w:lastRenderedPageBreak/>
        <w:t>Comparison of the Final Overall Grade to the Final Exam – Math 102</w:t>
      </w:r>
    </w:p>
    <w:p w:rsidR="00E6746E" w:rsidRDefault="00E6746E" w:rsidP="00DC6C56">
      <w:pPr>
        <w:rPr>
          <w:noProof/>
        </w:rPr>
      </w:pPr>
    </w:p>
    <w:p w:rsidR="00E6746E" w:rsidRDefault="00230D8E" w:rsidP="00DC6C56">
      <w:pPr>
        <w:rPr>
          <w:noProof/>
        </w:rPr>
      </w:pPr>
      <w:r>
        <w:rPr>
          <w:noProof/>
        </w:rPr>
        <w:drawing>
          <wp:anchor distT="0" distB="0" distL="114300" distR="114300" simplePos="0" relativeHeight="251694080" behindDoc="0" locked="0" layoutInCell="1" allowOverlap="1">
            <wp:simplePos x="0" y="0"/>
            <wp:positionH relativeFrom="margin">
              <wp:align>center</wp:align>
            </wp:positionH>
            <wp:positionV relativeFrom="margin">
              <wp:posOffset>561340</wp:posOffset>
            </wp:positionV>
            <wp:extent cx="6800850" cy="3743325"/>
            <wp:effectExtent l="19050" t="0" r="19050" b="0"/>
            <wp:wrapSquare wrapText="bothSides"/>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E6746E" w:rsidRDefault="00E6746E" w:rsidP="00DC6C56">
      <w:pPr>
        <w:rPr>
          <w:noProof/>
        </w:rPr>
      </w:pPr>
    </w:p>
    <w:p w:rsidR="00E6746E" w:rsidRDefault="00E6746E" w:rsidP="00DC6C56">
      <w:pPr>
        <w:rPr>
          <w:noProof/>
        </w:rPr>
      </w:pPr>
    </w:p>
    <w:p w:rsidR="00491785" w:rsidRDefault="00DC6C56" w:rsidP="00DC6C56">
      <w:r>
        <w:t xml:space="preserve">The line graph below shows a comparison of the student’s grades in the course to their Final Exam grades.  The raw data may also be found in the Excel spreadsheets in the </w:t>
      </w:r>
      <w:r w:rsidR="006E75CC">
        <w:t>appendices.  Data show</w:t>
      </w:r>
      <w:r w:rsidR="007570C6">
        <w:t>s</w:t>
      </w:r>
      <w:r w:rsidR="006E75CC">
        <w:t xml:space="preserve"> that there</w:t>
      </w:r>
      <w:r>
        <w:t xml:space="preserve"> is no significant difference between a student’s overall course grade and the final exam grade.  Any variance </w:t>
      </w:r>
      <w:r w:rsidRPr="00301719">
        <w:rPr>
          <w:position w:val="-4"/>
        </w:rPr>
        <w:object w:dxaOrig="220" w:dyaOrig="240">
          <v:shape id="_x0000_i1026" type="#_x0000_t75" style="width:11.25pt;height:12pt" o:ole="">
            <v:imagedata r:id="rId19" o:title=""/>
          </v:shape>
          <o:OLEObject Type="Embed" ProgID="Equation.3" ShapeID="_x0000_i1026" DrawAspect="Content" ObjectID="_1457530873" r:id="rId29"/>
        </w:object>
      </w:r>
      <w:r>
        <w:t xml:space="preserve"> 2.00 would show that the exam was incon</w:t>
      </w:r>
      <w:r w:rsidR="006E75CC">
        <w:t>sistent with the course content</w:t>
      </w:r>
      <w:r>
        <w:t xml:space="preserve"> and that the exam was either too easy with a positive variance or too difficult with a negative variance. </w:t>
      </w:r>
    </w:p>
    <w:p w:rsidR="00491785" w:rsidRDefault="00491785" w:rsidP="00DC6C56"/>
    <w:p w:rsidR="00491785" w:rsidRDefault="00DC6C56" w:rsidP="00DC6C56">
      <w:r>
        <w:t>The v</w:t>
      </w:r>
      <w:r w:rsidR="00306F89">
        <w:t>ariance for this semester was +1.00</w:t>
      </w:r>
      <w:r>
        <w:t xml:space="preserve">  </w:t>
      </w:r>
    </w:p>
    <w:p w:rsidR="00491785" w:rsidRDefault="00491785" w:rsidP="00DC6C56"/>
    <w:p w:rsidR="00DC6C56" w:rsidRPr="00301719" w:rsidRDefault="00DC6C56" w:rsidP="00DC6C56">
      <w:r>
        <w:t xml:space="preserve">This statistic shows that the final exam is consistent with the course content as presented in lectures and differentiated learning models </w:t>
      </w:r>
      <w:r w:rsidR="006E75CC">
        <w:t>through the semester.  Students’</w:t>
      </w:r>
      <w:r>
        <w:t xml:space="preserve"> overall grades prior to the final exams show no significant changes.  To ensure test integrity, four separate exams were given during the week of finals.</w:t>
      </w:r>
    </w:p>
    <w:p w:rsidR="00833B8D" w:rsidRDefault="00833B8D" w:rsidP="00012A72"/>
    <w:p w:rsidR="00833B8D" w:rsidRDefault="00833B8D" w:rsidP="00012A72"/>
    <w:p w:rsidR="00833B8D" w:rsidRDefault="00833B8D" w:rsidP="00012A72"/>
    <w:p w:rsidR="00833B8D" w:rsidRDefault="00833B8D" w:rsidP="00012A72"/>
    <w:p w:rsidR="00833B8D" w:rsidRDefault="00833B8D" w:rsidP="00012A72">
      <w:pPr>
        <w:rPr>
          <w:noProof/>
        </w:rPr>
      </w:pPr>
    </w:p>
    <w:p w:rsidR="00E6746E" w:rsidRDefault="00E6746E" w:rsidP="00012A72">
      <w:pPr>
        <w:rPr>
          <w:noProof/>
        </w:rPr>
      </w:pPr>
    </w:p>
    <w:p w:rsidR="00230D8E" w:rsidRDefault="00230D8E" w:rsidP="006F0D53">
      <w:pPr>
        <w:jc w:val="center"/>
        <w:rPr>
          <w:noProof/>
        </w:rPr>
      </w:pPr>
    </w:p>
    <w:p w:rsidR="00E6746E" w:rsidRDefault="00E6746E" w:rsidP="006F0D53">
      <w:pPr>
        <w:jc w:val="center"/>
        <w:rPr>
          <w:b/>
          <w:noProof/>
          <w:sz w:val="28"/>
          <w:szCs w:val="28"/>
        </w:rPr>
      </w:pPr>
      <w:r w:rsidRPr="006F0D53">
        <w:rPr>
          <w:b/>
          <w:noProof/>
          <w:sz w:val="28"/>
          <w:szCs w:val="28"/>
        </w:rPr>
        <w:lastRenderedPageBreak/>
        <w:t>M</w:t>
      </w:r>
      <w:r w:rsidR="006F0D53" w:rsidRPr="006F0D53">
        <w:rPr>
          <w:b/>
          <w:noProof/>
          <w:sz w:val="28"/>
          <w:szCs w:val="28"/>
        </w:rPr>
        <w:t>yMathLab Diagnostic Test Results – Math 102</w:t>
      </w:r>
    </w:p>
    <w:p w:rsidR="006F0D53" w:rsidRDefault="006F0D53" w:rsidP="006F0D53">
      <w:pPr>
        <w:jc w:val="center"/>
        <w:rPr>
          <w:b/>
          <w:noProof/>
          <w:sz w:val="28"/>
          <w:szCs w:val="28"/>
        </w:rPr>
      </w:pPr>
    </w:p>
    <w:p w:rsidR="006F0D53" w:rsidRPr="006F0D53" w:rsidRDefault="00230D8E" w:rsidP="006F0D53">
      <w:pPr>
        <w:jc w:val="center"/>
        <w:rPr>
          <w:b/>
          <w:noProof/>
          <w:sz w:val="28"/>
          <w:szCs w:val="28"/>
        </w:rPr>
      </w:pPr>
      <w:r>
        <w:rPr>
          <w:b/>
          <w:noProof/>
          <w:sz w:val="28"/>
          <w:szCs w:val="28"/>
        </w:rPr>
        <w:drawing>
          <wp:anchor distT="0" distB="0" distL="114300" distR="114300" simplePos="0" relativeHeight="251695104" behindDoc="0" locked="0" layoutInCell="1" allowOverlap="1">
            <wp:simplePos x="0" y="0"/>
            <wp:positionH relativeFrom="margin">
              <wp:align>center</wp:align>
            </wp:positionH>
            <wp:positionV relativeFrom="margin">
              <wp:posOffset>733425</wp:posOffset>
            </wp:positionV>
            <wp:extent cx="6810375" cy="4057650"/>
            <wp:effectExtent l="19050" t="0" r="9525" b="0"/>
            <wp:wrapSquare wrapText="bothSides"/>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E6746E" w:rsidRDefault="00E6746E" w:rsidP="00012A72">
      <w:pPr>
        <w:rPr>
          <w:noProof/>
        </w:rPr>
      </w:pPr>
    </w:p>
    <w:p w:rsidR="00E6746E" w:rsidRDefault="00E6746E" w:rsidP="00012A72">
      <w:pPr>
        <w:rPr>
          <w:noProof/>
        </w:rPr>
      </w:pPr>
    </w:p>
    <w:p w:rsidR="00833B8D" w:rsidRDefault="00833B8D" w:rsidP="00012A72"/>
    <w:p w:rsidR="00833B8D" w:rsidRPr="009E4FB3" w:rsidRDefault="00833B8D" w:rsidP="00012A72"/>
    <w:p w:rsidR="00491785" w:rsidRDefault="00B0335B" w:rsidP="00012A72">
      <w:r>
        <w:t>The graph above clearly shows that t</w:t>
      </w:r>
      <w:r w:rsidR="008B0BF1">
        <w:t xml:space="preserve">he use of </w:t>
      </w:r>
      <w:r>
        <w:t xml:space="preserve">both </w:t>
      </w:r>
      <w:r w:rsidR="008B0BF1">
        <w:t>diffe</w:t>
      </w:r>
      <w:r>
        <w:t>rentiated instructional methods and</w:t>
      </w:r>
      <w:r w:rsidR="008B0BF1">
        <w:t xml:space="preserve"> MyMath</w:t>
      </w:r>
      <w:r>
        <w:t>Lab are</w:t>
      </w:r>
      <w:r w:rsidR="00AC2634">
        <w:t xml:space="preserve"> very successful.  E</w:t>
      </w:r>
      <w:r w:rsidR="008B0BF1" w:rsidRPr="003C522D">
        <w:t>very student made significant progress in their mathematical abilities regardless of their entry point into the course</w:t>
      </w:r>
      <w:r w:rsidR="00AC2634">
        <w:t xml:space="preserve">. </w:t>
      </w:r>
      <w:r w:rsidR="00491785">
        <w:t xml:space="preserve">  </w:t>
      </w:r>
      <w:r>
        <w:t xml:space="preserve">  </w:t>
      </w:r>
    </w:p>
    <w:p w:rsidR="00491785" w:rsidRDefault="00491785" w:rsidP="00012A72"/>
    <w:p w:rsidR="00833B8D" w:rsidRDefault="007570C6" w:rsidP="00012A72">
      <w:r>
        <w:t>B</w:t>
      </w:r>
      <w:r w:rsidR="00B0335B">
        <w:t>y</w:t>
      </w:r>
      <w:r w:rsidR="005E4775">
        <w:t xml:space="preserve"> the semester’s end</w:t>
      </w:r>
      <w:r>
        <w:t>, all students</w:t>
      </w:r>
      <w:r w:rsidR="00AC2634">
        <w:t>, with one exception, had</w:t>
      </w:r>
      <w:r w:rsidR="005E4775">
        <w:t xml:space="preserve"> exceeded the base standard</w:t>
      </w:r>
      <w:r>
        <w:t>,</w:t>
      </w:r>
      <w:r w:rsidR="005E4775">
        <w:t xml:space="preserve"> and the average for all studen</w:t>
      </w:r>
      <w:r w:rsidR="00AC2634">
        <w:t>ts in Math 102 rose 30.6</w:t>
      </w:r>
      <w:r w:rsidR="005E4775">
        <w:t>%</w:t>
      </w:r>
      <w:r w:rsidR="00230D8E">
        <w:t>.</w:t>
      </w:r>
    </w:p>
    <w:p w:rsidR="005E4775" w:rsidRDefault="005E4775" w:rsidP="00012A72"/>
    <w:p w:rsidR="005E4775" w:rsidRDefault="005E4775" w:rsidP="00012A72"/>
    <w:p w:rsidR="005E4775" w:rsidRDefault="005E4775" w:rsidP="00012A72"/>
    <w:p w:rsidR="001C2931" w:rsidRDefault="001C2931" w:rsidP="00012A72">
      <w:pPr>
        <w:rPr>
          <w:b/>
        </w:rPr>
      </w:pPr>
    </w:p>
    <w:p w:rsidR="001C2931" w:rsidRDefault="001C2931" w:rsidP="00012A72">
      <w:pPr>
        <w:rPr>
          <w:b/>
        </w:rPr>
      </w:pPr>
    </w:p>
    <w:p w:rsidR="00491785" w:rsidRDefault="00491785" w:rsidP="00012A72">
      <w:pPr>
        <w:rPr>
          <w:b/>
        </w:rPr>
      </w:pPr>
    </w:p>
    <w:p w:rsidR="0049677E" w:rsidRDefault="0049677E" w:rsidP="00012A72">
      <w:pPr>
        <w:rPr>
          <w:b/>
        </w:rPr>
      </w:pPr>
    </w:p>
    <w:p w:rsidR="0049677E" w:rsidRDefault="0049677E" w:rsidP="00012A72">
      <w:pPr>
        <w:rPr>
          <w:b/>
        </w:rPr>
      </w:pPr>
    </w:p>
    <w:p w:rsidR="0049677E" w:rsidRDefault="0049677E" w:rsidP="00012A72">
      <w:pPr>
        <w:rPr>
          <w:b/>
        </w:rPr>
      </w:pPr>
    </w:p>
    <w:p w:rsidR="00491785" w:rsidRDefault="0049677E" w:rsidP="00012A72">
      <w:pPr>
        <w:rPr>
          <w:b/>
        </w:rPr>
      </w:pPr>
      <w:r>
        <w:rPr>
          <w:b/>
          <w:noProof/>
        </w:rPr>
        <w:lastRenderedPageBreak/>
        <w:drawing>
          <wp:anchor distT="0" distB="0" distL="114300" distR="114300" simplePos="0" relativeHeight="251669504" behindDoc="0" locked="0" layoutInCell="1" allowOverlap="1">
            <wp:simplePos x="0" y="0"/>
            <wp:positionH relativeFrom="margin">
              <wp:posOffset>2895600</wp:posOffset>
            </wp:positionH>
            <wp:positionV relativeFrom="margin">
              <wp:posOffset>76200</wp:posOffset>
            </wp:positionV>
            <wp:extent cx="3952875" cy="3724910"/>
            <wp:effectExtent l="0" t="0" r="0" b="0"/>
            <wp:wrapSquare wrapText="bothSides"/>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0B7585">
        <w:rPr>
          <w:b/>
        </w:rPr>
        <w:t>Math 108</w:t>
      </w:r>
    </w:p>
    <w:p w:rsidR="000B7585" w:rsidRDefault="000B7585" w:rsidP="00012A72">
      <w:pPr>
        <w:rPr>
          <w:b/>
        </w:rPr>
      </w:pPr>
    </w:p>
    <w:p w:rsidR="000B7585" w:rsidRDefault="000B7585" w:rsidP="00012A72">
      <w:pPr>
        <w:rPr>
          <w:b/>
        </w:rPr>
      </w:pPr>
      <w:r>
        <w:rPr>
          <w:b/>
        </w:rPr>
        <w:t xml:space="preserve"> - Grade Distribution</w:t>
      </w:r>
    </w:p>
    <w:p w:rsidR="00491785" w:rsidRDefault="00491785" w:rsidP="00012A72">
      <w:pPr>
        <w:rPr>
          <w:b/>
        </w:rPr>
      </w:pPr>
    </w:p>
    <w:p w:rsidR="00491785" w:rsidRDefault="0049677E" w:rsidP="00012A72">
      <w:r>
        <w:t>The pie chart to the right reflects the grade distribution of the “new” Math 108 class.  There were three different instructors for this course and the statistics for the three course</w:t>
      </w:r>
      <w:r w:rsidR="00495E5A">
        <w:t>s</w:t>
      </w:r>
      <w:r>
        <w:t xml:space="preserve"> are combined, except where noted later on in this report.</w:t>
      </w:r>
    </w:p>
    <w:p w:rsidR="0049677E" w:rsidRDefault="0049677E" w:rsidP="00012A72"/>
    <w:p w:rsidR="0049677E" w:rsidRPr="0049677E" w:rsidRDefault="0049677E" w:rsidP="00012A72">
      <w:r>
        <w:t>Math 108 was written during the summer of 2011 and was first taught during the spring semester 2012.  Math 108 was created to primarily serve our students majoring in the Life and Health Sciences fields.</w:t>
      </w:r>
    </w:p>
    <w:p w:rsidR="00491785" w:rsidRDefault="00491785" w:rsidP="00012A72">
      <w:pPr>
        <w:rPr>
          <w:b/>
        </w:rPr>
      </w:pPr>
    </w:p>
    <w:p w:rsidR="00491785" w:rsidRDefault="00491785" w:rsidP="00012A72">
      <w:pPr>
        <w:rPr>
          <w:b/>
        </w:rPr>
      </w:pPr>
    </w:p>
    <w:p w:rsidR="00491785" w:rsidRDefault="000E0993" w:rsidP="00012A72">
      <w:r>
        <w:rPr>
          <w:noProof/>
        </w:rPr>
        <w:drawing>
          <wp:anchor distT="0" distB="0" distL="114300" distR="114300" simplePos="0" relativeHeight="251670528" behindDoc="0" locked="0" layoutInCell="1" allowOverlap="1">
            <wp:simplePos x="0" y="0"/>
            <wp:positionH relativeFrom="margin">
              <wp:posOffset>2895600</wp:posOffset>
            </wp:positionH>
            <wp:positionV relativeFrom="margin">
              <wp:posOffset>3971290</wp:posOffset>
            </wp:positionV>
            <wp:extent cx="4000500" cy="3124200"/>
            <wp:effectExtent l="0" t="0" r="0" b="0"/>
            <wp:wrapSquare wrapText="bothSides"/>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49677E">
        <w:t>As with any new course</w:t>
      </w:r>
      <w:r>
        <w:t>, c</w:t>
      </w:r>
      <w:r w:rsidR="0049677E">
        <w:t xml:space="preserve">lose </w:t>
      </w:r>
      <w:r>
        <w:t>tracking of the out</w:t>
      </w:r>
      <w:r w:rsidR="0049677E">
        <w:t xml:space="preserve">comes </w:t>
      </w:r>
      <w:r>
        <w:t>need</w:t>
      </w:r>
      <w:r w:rsidR="0049677E">
        <w:t xml:space="preserve"> to be </w:t>
      </w:r>
      <w:r>
        <w:t>examined</w:t>
      </w:r>
      <w:r w:rsidR="0049677E">
        <w:t xml:space="preserve"> in depth.  One unfavorable trend that emerged is the significant number of student</w:t>
      </w:r>
      <w:r>
        <w:t>s</w:t>
      </w:r>
      <w:r w:rsidR="0049677E">
        <w:t xml:space="preserve"> that</w:t>
      </w:r>
      <w:r>
        <w:t xml:space="preserve"> were either misplaced (10%) into Math 108 and to a lesser extent, slipped through and did not take the placement exam (2%).</w:t>
      </w:r>
    </w:p>
    <w:p w:rsidR="000E0993" w:rsidRDefault="000E0993" w:rsidP="00012A72"/>
    <w:p w:rsidR="000E0993" w:rsidRDefault="000E0993" w:rsidP="00012A72">
      <w:r>
        <w:t>Differences between students that placed into the course with Accuplacer and those that took Math 101S as a prerequisite showed a trend favoring students that took Math 101S.  A trend that needs to be monitored closely as the cut-off scores for Accuplacer may need to be adjusted for the next incoming freshman class.</w:t>
      </w:r>
    </w:p>
    <w:p w:rsidR="000E0993" w:rsidRDefault="000E0993" w:rsidP="00012A72"/>
    <w:p w:rsidR="000E0993" w:rsidRPr="0049677E" w:rsidRDefault="000E0993" w:rsidP="00012A72">
      <w:r>
        <w:t xml:space="preserve">To accommodate those students that placed into the course with Accuplacer, a differentiated learning model of instruction (similar to what is used in the Math 101S pedagogy) was used to “catch” students up with the curriculum and to move </w:t>
      </w:r>
      <w:r w:rsidR="00230D8E">
        <w:t xml:space="preserve">them </w:t>
      </w:r>
      <w:r>
        <w:t>forward with the material.</w:t>
      </w:r>
    </w:p>
    <w:p w:rsidR="001C2931" w:rsidRDefault="001C2931" w:rsidP="00012A72">
      <w:pPr>
        <w:rPr>
          <w:b/>
        </w:rPr>
      </w:pPr>
    </w:p>
    <w:p w:rsidR="00AC2634" w:rsidRDefault="00AC2634" w:rsidP="00012A72">
      <w:pPr>
        <w:rPr>
          <w:b/>
        </w:rPr>
      </w:pPr>
    </w:p>
    <w:p w:rsidR="00AC2634" w:rsidRDefault="00AC2634" w:rsidP="00012A72">
      <w:pPr>
        <w:rPr>
          <w:b/>
        </w:rPr>
      </w:pPr>
    </w:p>
    <w:p w:rsidR="00AC2634" w:rsidRDefault="00AC2634" w:rsidP="00012A72">
      <w:pPr>
        <w:rPr>
          <w:b/>
        </w:rPr>
      </w:pPr>
    </w:p>
    <w:p w:rsidR="00AC2634" w:rsidRDefault="00E45983" w:rsidP="00012A72">
      <w:r>
        <w:rPr>
          <w:noProof/>
        </w:rPr>
        <w:lastRenderedPageBreak/>
        <w:drawing>
          <wp:anchor distT="0" distB="0" distL="114300" distR="114300" simplePos="0" relativeHeight="251699200" behindDoc="0" locked="0" layoutInCell="1" allowOverlap="1">
            <wp:simplePos x="0" y="0"/>
            <wp:positionH relativeFrom="margin">
              <wp:posOffset>2895600</wp:posOffset>
            </wp:positionH>
            <wp:positionV relativeFrom="margin">
              <wp:posOffset>-47625</wp:posOffset>
            </wp:positionV>
            <wp:extent cx="3552825" cy="2743200"/>
            <wp:effectExtent l="0" t="0" r="0" b="0"/>
            <wp:wrapSquare wrapText="bothSides"/>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CB6CA4">
        <w:t>Three different instructors taught Math 108 for the Fall 2012 Semester.</w:t>
      </w:r>
      <w:r w:rsidRPr="00E45983">
        <w:rPr>
          <w:noProof/>
        </w:rPr>
        <w:t xml:space="preserve"> </w:t>
      </w:r>
    </w:p>
    <w:p w:rsidR="00CB6CA4" w:rsidRDefault="00CB6CA4" w:rsidP="00012A72"/>
    <w:p w:rsidR="00CB6CA4" w:rsidRDefault="00CB6CA4" w:rsidP="00012A72">
      <w:r>
        <w:t>A breakdown of the Pass, Fail</w:t>
      </w:r>
      <w:r w:rsidR="00230D8E">
        <w:t>,</w:t>
      </w:r>
      <w:r>
        <w:t xml:space="preserve"> and Withdrawal rate for each is pr</w:t>
      </w:r>
      <w:r w:rsidR="00230D8E">
        <w:t>ovided in the graphs below</w:t>
      </w:r>
      <w:r>
        <w:t>.</w:t>
      </w:r>
    </w:p>
    <w:p w:rsidR="00CB6CA4" w:rsidRDefault="00CB6CA4" w:rsidP="00012A72"/>
    <w:p w:rsidR="00CB6CA4" w:rsidRDefault="00CB6CA4" w:rsidP="00012A72">
      <w:r>
        <w:t>Overall, four sections, n = 89</w:t>
      </w:r>
    </w:p>
    <w:p w:rsidR="00CB6CA4" w:rsidRDefault="00CB6CA4" w:rsidP="00012A72"/>
    <w:p w:rsidR="00CB6CA4" w:rsidRDefault="00CB6CA4" w:rsidP="00012A72">
      <w:r>
        <w:t>Instructor A taught one section, n = 31</w:t>
      </w:r>
    </w:p>
    <w:p w:rsidR="00CB6CA4" w:rsidRDefault="00CB6CA4" w:rsidP="00012A72">
      <w:r>
        <w:t>Instructor B taught two sections, n = 41</w:t>
      </w:r>
    </w:p>
    <w:p w:rsidR="00CB6CA4" w:rsidRPr="00CB6CA4" w:rsidRDefault="00CB6CA4" w:rsidP="00012A72">
      <w:r>
        <w:t>Inst</w:t>
      </w:r>
      <w:r w:rsidR="00693E57">
        <w:t>ructor C taught one section, n =</w:t>
      </w:r>
      <w:r>
        <w:t xml:space="preserve"> 17</w:t>
      </w:r>
    </w:p>
    <w:p w:rsidR="00AC2634" w:rsidRDefault="00AC2634" w:rsidP="00012A72">
      <w:pPr>
        <w:rPr>
          <w:b/>
        </w:rPr>
      </w:pPr>
    </w:p>
    <w:p w:rsidR="0049677E" w:rsidRDefault="00230D8E" w:rsidP="00012A72">
      <w:r>
        <w:t>There was</w:t>
      </w:r>
      <w:r w:rsidR="00693E57" w:rsidRPr="00693E57">
        <w:t xml:space="preserve"> no significant different between pass/fail rates among the three different instructors</w:t>
      </w:r>
      <w:r w:rsidR="00693E57">
        <w:t>. One instructor had a 7% withdrawal rate, which was only 2 students – the other two instructors did not have any withdrawals</w:t>
      </w:r>
      <w:r w:rsidR="007C4DC5">
        <w:t>.  Again, this is not a significant difference.</w:t>
      </w:r>
    </w:p>
    <w:p w:rsidR="007C4DC5" w:rsidRDefault="007C4DC5" w:rsidP="00012A72"/>
    <w:p w:rsidR="007C4DC5" w:rsidRDefault="007C4DC5" w:rsidP="00012A72">
      <w:r>
        <w:t xml:space="preserve">Math 108 is not a standardized course. All instructors are using </w:t>
      </w:r>
      <w:r w:rsidR="00230D8E">
        <w:t>the same course content summary</w:t>
      </w:r>
      <w:r>
        <w:t xml:space="preserve"> and similar “shell outlines” in MyMathLab, but all instructors have the academic freedom to incorporate their own pedagogy and transfer of knowledge methods that they wish to use.</w:t>
      </w:r>
    </w:p>
    <w:p w:rsidR="007C4DC5" w:rsidRDefault="007C4DC5" w:rsidP="00012A72"/>
    <w:p w:rsidR="007C4DC5" w:rsidRPr="00693E57" w:rsidRDefault="007C4DC5" w:rsidP="00012A72">
      <w:r>
        <w:t>Further analysis of this course is ongoing and will rely on statistics and feedback from the Nursing (TEAS) program and the Education (Praxis</w:t>
      </w:r>
      <w:r w:rsidR="00230D8E">
        <w:t>) program</w:t>
      </w:r>
      <w:r>
        <w:t>.</w:t>
      </w:r>
    </w:p>
    <w:p w:rsidR="0049677E" w:rsidRDefault="0049677E" w:rsidP="00012A72">
      <w:pPr>
        <w:rPr>
          <w:b/>
        </w:rPr>
      </w:pPr>
    </w:p>
    <w:p w:rsidR="0049677E" w:rsidRDefault="0049677E" w:rsidP="00012A72">
      <w:pPr>
        <w:rPr>
          <w:b/>
        </w:rPr>
      </w:pPr>
    </w:p>
    <w:p w:rsidR="0049677E" w:rsidRDefault="007C4DC5" w:rsidP="00012A72">
      <w:pPr>
        <w:rPr>
          <w:b/>
        </w:rPr>
      </w:pPr>
      <w:r>
        <w:rPr>
          <w:b/>
          <w:noProof/>
        </w:rPr>
        <w:drawing>
          <wp:anchor distT="0" distB="0" distL="114300" distR="114300" simplePos="0" relativeHeight="251672576" behindDoc="0" locked="0" layoutInCell="1" allowOverlap="1">
            <wp:simplePos x="0" y="0"/>
            <wp:positionH relativeFrom="margin">
              <wp:posOffset>-971550</wp:posOffset>
            </wp:positionH>
            <wp:positionV relativeFrom="margin">
              <wp:posOffset>4933950</wp:posOffset>
            </wp:positionV>
            <wp:extent cx="3048000" cy="2552700"/>
            <wp:effectExtent l="0" t="0" r="0" b="0"/>
            <wp:wrapSquare wrapText="bothSides"/>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0E0993" w:rsidRDefault="00A83FB9" w:rsidP="00012A72">
      <w:pPr>
        <w:rPr>
          <w:b/>
        </w:rPr>
      </w:pPr>
      <w:r>
        <w:rPr>
          <w:b/>
          <w:noProof/>
        </w:rPr>
        <w:drawing>
          <wp:anchor distT="0" distB="0" distL="114300" distR="114300" simplePos="0" relativeHeight="251674624" behindDoc="0" locked="0" layoutInCell="1" allowOverlap="1">
            <wp:simplePos x="0" y="0"/>
            <wp:positionH relativeFrom="margin">
              <wp:posOffset>4048125</wp:posOffset>
            </wp:positionH>
            <wp:positionV relativeFrom="margin">
              <wp:posOffset>4933950</wp:posOffset>
            </wp:positionV>
            <wp:extent cx="3352800" cy="2609850"/>
            <wp:effectExtent l="0" t="0" r="0" b="0"/>
            <wp:wrapSquare wrapText="bothSides"/>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7C4DC5">
        <w:rPr>
          <w:b/>
          <w:noProof/>
        </w:rPr>
        <w:drawing>
          <wp:anchor distT="0" distB="0" distL="114300" distR="114300" simplePos="0" relativeHeight="251673600" behindDoc="0" locked="0" layoutInCell="1" allowOverlap="1">
            <wp:simplePos x="0" y="0"/>
            <wp:positionH relativeFrom="margin">
              <wp:posOffset>1457325</wp:posOffset>
            </wp:positionH>
            <wp:positionV relativeFrom="margin">
              <wp:posOffset>4933950</wp:posOffset>
            </wp:positionV>
            <wp:extent cx="3286125" cy="2676525"/>
            <wp:effectExtent l="0" t="0" r="0" b="0"/>
            <wp:wrapSquare wrapText="bothSides"/>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0E0993" w:rsidRDefault="000E0993" w:rsidP="00012A72">
      <w:pPr>
        <w:rPr>
          <w:b/>
        </w:rPr>
      </w:pPr>
    </w:p>
    <w:p w:rsidR="000E0993" w:rsidRDefault="000E0993" w:rsidP="00012A72">
      <w:pPr>
        <w:rPr>
          <w:b/>
        </w:rPr>
      </w:pPr>
    </w:p>
    <w:p w:rsidR="005E4775" w:rsidRDefault="005E4775" w:rsidP="00012A72">
      <w:pPr>
        <w:rPr>
          <w:b/>
        </w:rPr>
      </w:pPr>
      <w:r w:rsidRPr="005E4775">
        <w:rPr>
          <w:b/>
        </w:rPr>
        <w:lastRenderedPageBreak/>
        <w:t>Part V Longitudinal Outcomes</w:t>
      </w:r>
    </w:p>
    <w:p w:rsidR="00F0471E" w:rsidRDefault="00F0471E" w:rsidP="00012A72">
      <w:pPr>
        <w:rPr>
          <w:b/>
        </w:rPr>
      </w:pPr>
    </w:p>
    <w:p w:rsidR="00F0471E" w:rsidRPr="005E4775" w:rsidRDefault="00F0471E" w:rsidP="00012A72">
      <w:pPr>
        <w:rPr>
          <w:b/>
        </w:rPr>
      </w:pPr>
      <w:r>
        <w:rPr>
          <w:b/>
        </w:rPr>
        <w:t xml:space="preserve"> - Math 101S</w:t>
      </w:r>
    </w:p>
    <w:p w:rsidR="005E4775" w:rsidRPr="005E4775" w:rsidRDefault="005E4775" w:rsidP="00012A72"/>
    <w:p w:rsidR="00F0471E" w:rsidRDefault="00F0471E" w:rsidP="00F0471E">
      <w:pPr>
        <w:jc w:val="center"/>
      </w:pPr>
    </w:p>
    <w:p w:rsidR="005E4775" w:rsidRDefault="00F0471E" w:rsidP="00F0471E">
      <w:pPr>
        <w:rPr>
          <w:b/>
        </w:rPr>
      </w:pPr>
      <w:r>
        <w:rPr>
          <w:b/>
        </w:rPr>
        <w:t xml:space="preserve">  </w:t>
      </w:r>
      <w:r>
        <w:rPr>
          <w:b/>
        </w:rPr>
        <w:tab/>
      </w:r>
      <w:r>
        <w:rPr>
          <w:b/>
        </w:rPr>
        <w:tab/>
      </w:r>
      <w:r>
        <w:rPr>
          <w:b/>
        </w:rPr>
        <w:tab/>
      </w:r>
      <w:r w:rsidR="009A6863">
        <w:rPr>
          <w:b/>
        </w:rPr>
        <w:t>Comparison of Fall 2009 - Fall 2012</w:t>
      </w:r>
      <w:r w:rsidR="00634459">
        <w:rPr>
          <w:b/>
        </w:rPr>
        <w:t xml:space="preserve"> – All Students</w:t>
      </w:r>
    </w:p>
    <w:p w:rsidR="00F0471E" w:rsidRDefault="003C7C0F" w:rsidP="00F0471E">
      <w:pPr>
        <w:rPr>
          <w:b/>
        </w:rPr>
      </w:pPr>
      <w:r>
        <w:rPr>
          <w:b/>
          <w:noProof/>
        </w:rPr>
        <w:drawing>
          <wp:anchor distT="0" distB="0" distL="114300" distR="114300" simplePos="0" relativeHeight="251696128" behindDoc="0" locked="0" layoutInCell="1" allowOverlap="1">
            <wp:simplePos x="0" y="0"/>
            <wp:positionH relativeFrom="margin">
              <wp:posOffset>-638175</wp:posOffset>
            </wp:positionH>
            <wp:positionV relativeFrom="margin">
              <wp:posOffset>1266825</wp:posOffset>
            </wp:positionV>
            <wp:extent cx="7210425" cy="2680970"/>
            <wp:effectExtent l="19050" t="0" r="9525" b="5080"/>
            <wp:wrapSquare wrapText="bothSides"/>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F0471E" w:rsidRDefault="00F0471E" w:rsidP="00F0471E">
      <w:pPr>
        <w:jc w:val="center"/>
        <w:rPr>
          <w:b/>
        </w:rPr>
      </w:pPr>
    </w:p>
    <w:p w:rsidR="00F0471E" w:rsidRDefault="00F0471E" w:rsidP="00F0471E">
      <w:pPr>
        <w:jc w:val="center"/>
        <w:rPr>
          <w:b/>
        </w:rPr>
      </w:pPr>
    </w:p>
    <w:p w:rsidR="003A1F1E" w:rsidRDefault="003A1F1E" w:rsidP="003A1F1E">
      <w:r>
        <w:t>Comparing statistics from Fall ’09, the first semester using MyMathLab and an aggressive instructional pedagogy, to Fall ’12 is difficult, as the entire course was rewritten during the summer of 2010.</w:t>
      </w:r>
    </w:p>
    <w:p w:rsidR="003A1F1E" w:rsidRPr="006F2E81" w:rsidRDefault="003A1F1E" w:rsidP="003A1F1E"/>
    <w:p w:rsidR="003A1F1E" w:rsidRDefault="003A1F1E" w:rsidP="003A1F1E">
      <w:r>
        <w:t>At the end of the Spring 2010 semester, the Math Department chose a new textbook for Math 101S.  The new text was more in-dep</w:t>
      </w:r>
      <w:r w:rsidR="00CC27D9">
        <w:t>th</w:t>
      </w:r>
      <w:r>
        <w:t xml:space="preserve"> and provided more examples across the spectrum (a key item with the use of differentiated instruction – the</w:t>
      </w:r>
      <w:r w:rsidR="00CC27D9">
        <w:t xml:space="preserve"> more problems, the better) of</w:t>
      </w:r>
      <w:r>
        <w:t xml:space="preserve"> the topics to be covered, but it also provided a thorou</w:t>
      </w:r>
      <w:r w:rsidR="00CC27D9">
        <w:t>gh review of pre-algebra topics</w:t>
      </w:r>
      <w:r>
        <w:t xml:space="preserve"> so that students scoring lower on their placement exam would still be able to “catch up.”</w:t>
      </w:r>
    </w:p>
    <w:p w:rsidR="003A1F1E" w:rsidRDefault="003A1F1E" w:rsidP="003A1F1E"/>
    <w:p w:rsidR="003A1F1E" w:rsidRDefault="003A1F1E" w:rsidP="003A1F1E">
      <w:r>
        <w:t>All daily lesson plans, Power Points, tests and final ex</w:t>
      </w:r>
      <w:r w:rsidR="00CC27D9">
        <w:t>ams were re-written</w:t>
      </w:r>
      <w:r>
        <w:t>.  Starting in the Fall 2010 semester, with the exception of each Specialist’s personality in the classroom, every aspect of the course was exactly the same</w:t>
      </w:r>
      <w:r w:rsidR="00CC27D9">
        <w:t>.  Courses are now standardized</w:t>
      </w:r>
      <w:r>
        <w:t xml:space="preserve"> so that if a student misses her 9:00 am lecture on Monday, that exact same lecture is available on Tuesday afternoon with another class.</w:t>
      </w:r>
    </w:p>
    <w:p w:rsidR="003A1F1E" w:rsidRDefault="003A1F1E" w:rsidP="003A1F1E"/>
    <w:p w:rsidR="00E40837" w:rsidRDefault="003A1F1E" w:rsidP="003A1F1E">
      <w:r>
        <w:t xml:space="preserve">One more final change was incorporated this fall and that is the </w:t>
      </w:r>
      <w:r w:rsidR="00E40837">
        <w:t>use of Mas</w:t>
      </w:r>
      <w:r w:rsidR="00CC27D9">
        <w:t>tery Grading on Tests 1 and</w:t>
      </w:r>
      <w:r w:rsidR="00E40837">
        <w:t xml:space="preserve"> 2.  We have used Mastery Grading on all homework assignments, meaning students must achieve a grade of 72% on every assignment – now we were going to up the ante and force all students to also prove Master</w:t>
      </w:r>
      <w:r w:rsidR="00CC27D9">
        <w:t>y</w:t>
      </w:r>
      <w:r w:rsidR="00E40837">
        <w:t xml:space="preserve"> Learnin</w:t>
      </w:r>
      <w:r w:rsidR="00CC27D9">
        <w:t>g on the first two tests.  Previously</w:t>
      </w:r>
      <w:r w:rsidR="00E40837">
        <w:t xml:space="preserve">, students could mathematically pass the course with an overall average of 72% or higher.  Some students would fail badly the first or second test of the semester, but their overall average was passing.  This </w:t>
      </w:r>
      <w:r w:rsidR="00E40837">
        <w:lastRenderedPageBreak/>
        <w:t>standard was not high enough to ensure students could pass the final exam</w:t>
      </w:r>
      <w:r w:rsidR="00CC27D9">
        <w:t>,</w:t>
      </w:r>
      <w:r w:rsidR="00E40837">
        <w:t xml:space="preserve"> or</w:t>
      </w:r>
      <w:r w:rsidR="00CC27D9">
        <w:t>,</w:t>
      </w:r>
      <w:r w:rsidR="00E40837">
        <w:t xml:space="preserve"> more importantly</w:t>
      </w:r>
      <w:r w:rsidR="00386504">
        <w:t>, retain</w:t>
      </w:r>
      <w:r w:rsidR="00E40837">
        <w:t xml:space="preserve"> the knowledge for the next sequential mathematics course.</w:t>
      </w:r>
    </w:p>
    <w:p w:rsidR="00E40837" w:rsidRDefault="00E40837" w:rsidP="003A1F1E"/>
    <w:p w:rsidR="003A1F1E" w:rsidRDefault="00E40837" w:rsidP="003A1F1E">
      <w:r>
        <w:t>The negative consequence of this change was that the number of student</w:t>
      </w:r>
      <w:r w:rsidR="00CC27D9">
        <w:t>s</w:t>
      </w:r>
      <w:r>
        <w:t xml:space="preserve"> abandoning or quitting the course doubled</w:t>
      </w:r>
      <w:r w:rsidR="000D28E2">
        <w:t xml:space="preserve"> from the previous 3 years.</w:t>
      </w:r>
      <w:r w:rsidR="00CC27D9">
        <w:t xml:space="preserve">  Some students did not acculturate to</w:t>
      </w:r>
      <w:r w:rsidR="000D28E2">
        <w:t xml:space="preserve"> t</w:t>
      </w:r>
      <w:r w:rsidR="00CC27D9">
        <w:t>o being held accountable to</w:t>
      </w:r>
      <w:r w:rsidR="000D28E2">
        <w:t xml:space="preserve"> a Mastery Grading and Mastery Learning system over both their homework grades and their test grades.</w:t>
      </w:r>
    </w:p>
    <w:p w:rsidR="000D28E2" w:rsidRDefault="000D28E2" w:rsidP="003A1F1E"/>
    <w:p w:rsidR="000D28E2" w:rsidRDefault="000D28E2" w:rsidP="003A1F1E">
      <w:r>
        <w:t>In addition to incorporating the Mastery Grad</w:t>
      </w:r>
      <w:r w:rsidR="00CC27D9">
        <w:t>ing to Tests 1 and 2,</w:t>
      </w:r>
      <w:r>
        <w:t xml:space="preserve"> students</w:t>
      </w:r>
      <w:r w:rsidR="00CC27D9">
        <w:t xml:space="preserve"> were allowed</w:t>
      </w:r>
      <w:r>
        <w:t xml:space="preserve"> to re-test</w:t>
      </w:r>
      <w:r w:rsidR="0027560A">
        <w:t xml:space="preserve"> if they failed either of these tests.  The requirements were strict in order to re-test.  All failing students were to complete a differentiated test review that was based on the most missed questions from the exam and the re-testing would only take place on designated Mondays (as part of our Monday Mathematics program) at 5:00 pm.  Students were advised of this change in the syllabus and asked to plan accordingly if they happen</w:t>
      </w:r>
      <w:r w:rsidR="00456261">
        <w:t>ed</w:t>
      </w:r>
      <w:r w:rsidR="0027560A">
        <w:t xml:space="preserve"> to fall into the group that needed to re-test.</w:t>
      </w:r>
    </w:p>
    <w:p w:rsidR="0027560A" w:rsidRDefault="0027560A" w:rsidP="003A1F1E"/>
    <w:p w:rsidR="0027560A" w:rsidRDefault="0027560A" w:rsidP="003A1F1E">
      <w:r>
        <w:t>The response was overwhelming as 112 re-tests were administered</w:t>
      </w:r>
      <w:r w:rsidR="00456261">
        <w:t>.  To</w:t>
      </w:r>
      <w:r>
        <w:t xml:space="preserve"> </w:t>
      </w:r>
      <w:r w:rsidR="00456261">
        <w:t>ensure course content integrity,</w:t>
      </w:r>
      <w:r>
        <w:t xml:space="preserve"> complete</w:t>
      </w:r>
      <w:r w:rsidR="00456261">
        <w:t>ly</w:t>
      </w:r>
      <w:r>
        <w:t xml:space="preserve"> separate exams were written for the re-testing program.</w:t>
      </w:r>
    </w:p>
    <w:p w:rsidR="000D28E2" w:rsidRDefault="000D28E2" w:rsidP="003A1F1E"/>
    <w:p w:rsidR="000D28E2" w:rsidRDefault="000D28E2" w:rsidP="003A1F1E">
      <w:r>
        <w:t>The</w:t>
      </w:r>
      <w:r w:rsidR="00456261">
        <w:t xml:space="preserve"> positive outcomes were </w:t>
      </w:r>
      <w:r w:rsidR="00386504">
        <w:t>that pass</w:t>
      </w:r>
      <w:r>
        <w:t xml:space="preserve"> rates skyrocketed to 53%, an increase of 14%</w:t>
      </w:r>
      <w:r w:rsidR="00386504">
        <w:t xml:space="preserve"> from the previous fall semester and that</w:t>
      </w:r>
      <w:r>
        <w:t xml:space="preserve"> with</w:t>
      </w:r>
      <w:r w:rsidR="00386504">
        <w:t>drawal rates deceased 9% and</w:t>
      </w:r>
      <w:r>
        <w:t xml:space="preserve"> failure rates decreased 16%.</w:t>
      </w:r>
    </w:p>
    <w:p w:rsidR="00F0471E" w:rsidRPr="003A1F1E" w:rsidRDefault="00F0471E" w:rsidP="00F0471E">
      <w:pPr>
        <w:jc w:val="center"/>
      </w:pPr>
    </w:p>
    <w:p w:rsidR="00F0471E" w:rsidRDefault="00F0471E" w:rsidP="00F0471E">
      <w:pPr>
        <w:jc w:val="center"/>
        <w:rPr>
          <w:b/>
        </w:rPr>
      </w:pPr>
    </w:p>
    <w:p w:rsidR="0027560A" w:rsidRPr="0027560A" w:rsidRDefault="00386504" w:rsidP="0027560A">
      <w:pPr>
        <w:jc w:val="center"/>
        <w:rPr>
          <w:b/>
        </w:rPr>
      </w:pPr>
      <w:r>
        <w:rPr>
          <w:b/>
        </w:rPr>
        <w:t>Comparison of Fall 2009 - Fall 2012</w:t>
      </w:r>
      <w:r w:rsidR="00F0471E">
        <w:rPr>
          <w:b/>
        </w:rPr>
        <w:t xml:space="preserve"> - </w:t>
      </w:r>
      <w:r w:rsidR="00634459" w:rsidRPr="00634459">
        <w:rPr>
          <w:b/>
        </w:rPr>
        <w:t>Students that Complete</w:t>
      </w:r>
      <w:r>
        <w:rPr>
          <w:b/>
        </w:rPr>
        <w:t>d</w:t>
      </w:r>
      <w:r w:rsidR="00634459" w:rsidRPr="00634459">
        <w:rPr>
          <w:b/>
        </w:rPr>
        <w:t xml:space="preserve"> the Course</w:t>
      </w:r>
    </w:p>
    <w:p w:rsidR="00634459" w:rsidRDefault="00634459" w:rsidP="00012A72"/>
    <w:p w:rsidR="0027560A" w:rsidRDefault="00495E5A" w:rsidP="00012A72">
      <w:pPr>
        <w:rPr>
          <w:b/>
        </w:rPr>
      </w:pPr>
      <w:r>
        <w:rPr>
          <w:b/>
          <w:noProof/>
        </w:rPr>
        <w:drawing>
          <wp:anchor distT="0" distB="0" distL="114300" distR="114300" simplePos="0" relativeHeight="251697152" behindDoc="0" locked="0" layoutInCell="1" allowOverlap="1">
            <wp:simplePos x="0" y="0"/>
            <wp:positionH relativeFrom="margin">
              <wp:posOffset>-457200</wp:posOffset>
            </wp:positionH>
            <wp:positionV relativeFrom="margin">
              <wp:posOffset>4419600</wp:posOffset>
            </wp:positionV>
            <wp:extent cx="6915150" cy="2543175"/>
            <wp:effectExtent l="19050" t="0" r="19050" b="0"/>
            <wp:wrapSquare wrapText="bothSides"/>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755FBF" w:rsidRPr="00755FBF" w:rsidRDefault="0027560A" w:rsidP="00012A72">
      <w:r>
        <w:t xml:space="preserve">Additionally, students that completed the course passed </w:t>
      </w:r>
      <w:r w:rsidR="00386504">
        <w:t>at an astounding</w:t>
      </w:r>
      <w:r>
        <w:t xml:space="preserve"> rate of 87%</w:t>
      </w:r>
      <w:r w:rsidR="00A84736">
        <w:t xml:space="preserve">.  That figure coupled with the high retention rate noted earlier in this report </w:t>
      </w:r>
      <w:r w:rsidR="00386504">
        <w:t>clearly shows</w:t>
      </w:r>
      <w:r w:rsidR="00A84736">
        <w:t xml:space="preserve"> that the last change to the course pedagogy of adding Mastery Grading (along with re-testing opportunities) to the first two </w:t>
      </w:r>
      <w:r w:rsidR="00495E5A">
        <w:t>exams</w:t>
      </w:r>
      <w:r w:rsidR="00A84736">
        <w:t xml:space="preserve"> is a success.</w:t>
      </w:r>
    </w:p>
    <w:p w:rsidR="00833B8D" w:rsidRDefault="000270E3" w:rsidP="00012A72">
      <w:pPr>
        <w:rPr>
          <w:b/>
        </w:rPr>
      </w:pPr>
      <w:r>
        <w:rPr>
          <w:b/>
          <w:noProof/>
        </w:rPr>
        <w:lastRenderedPageBreak/>
        <w:drawing>
          <wp:anchor distT="0" distB="0" distL="114300" distR="114300" simplePos="0" relativeHeight="251698176" behindDoc="0" locked="0" layoutInCell="1" allowOverlap="1">
            <wp:simplePos x="0" y="0"/>
            <wp:positionH relativeFrom="margin">
              <wp:posOffset>3467100</wp:posOffset>
            </wp:positionH>
            <wp:positionV relativeFrom="margin">
              <wp:posOffset>-28575</wp:posOffset>
            </wp:positionV>
            <wp:extent cx="3162300" cy="2457450"/>
            <wp:effectExtent l="0" t="0" r="0" b="0"/>
            <wp:wrapSquare wrapText="bothSides"/>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9538A4" w:rsidRPr="009538A4">
        <w:rPr>
          <w:b/>
        </w:rPr>
        <w:t>Math 123</w:t>
      </w:r>
    </w:p>
    <w:p w:rsidR="00BC00E4" w:rsidRPr="00BC00E4" w:rsidRDefault="00BC00E4" w:rsidP="00012A72"/>
    <w:p w:rsidR="009538A4" w:rsidRPr="008E7C56" w:rsidRDefault="005D7573" w:rsidP="00012A72">
      <w:r>
        <w:t>For Math 123, Fall 2012</w:t>
      </w:r>
      <w:r w:rsidR="008E7C56" w:rsidRPr="008E7C56">
        <w:t xml:space="preserve"> showed an overall p</w:t>
      </w:r>
      <w:r>
        <w:t>ass rate of 89% this is up from</w:t>
      </w:r>
      <w:r w:rsidR="009A6CE9">
        <w:t xml:space="preserve"> </w:t>
      </w:r>
      <w:r w:rsidR="007570C6">
        <w:t>Fall 2011</w:t>
      </w:r>
      <w:r>
        <w:t>which</w:t>
      </w:r>
      <w:r w:rsidR="007570C6">
        <w:t xml:space="preserve"> showed</w:t>
      </w:r>
      <w:r>
        <w:t xml:space="preserve"> a 72% pass rate.</w:t>
      </w:r>
      <w:r w:rsidRPr="005D7573">
        <w:rPr>
          <w:noProof/>
        </w:rPr>
        <w:t xml:space="preserve"> </w:t>
      </w:r>
    </w:p>
    <w:p w:rsidR="009538A4" w:rsidRDefault="009538A4" w:rsidP="00012A72">
      <w:pPr>
        <w:rPr>
          <w:b/>
        </w:rPr>
      </w:pPr>
    </w:p>
    <w:p w:rsidR="00FB0876" w:rsidRPr="004A1DD7" w:rsidRDefault="00FB0876" w:rsidP="00012A72">
      <w:pPr>
        <w:rPr>
          <w:b/>
        </w:rPr>
      </w:pPr>
    </w:p>
    <w:p w:rsidR="00B33102" w:rsidRDefault="00B33102" w:rsidP="00012A72">
      <w:r>
        <w:t>Students were placed into Math 123 by either successfully passing Math 102</w:t>
      </w:r>
      <w:r w:rsidR="005D7573">
        <w:t>, transferring in the appropriate math course</w:t>
      </w:r>
      <w:r>
        <w:t xml:space="preserve"> or with the prerequisite score on the Accuplacer exam.</w:t>
      </w:r>
    </w:p>
    <w:p w:rsidR="00B33102" w:rsidRDefault="00B33102" w:rsidP="00012A72"/>
    <w:p w:rsidR="00B33102" w:rsidRDefault="00B33102" w:rsidP="00012A72"/>
    <w:p w:rsidR="009538A4" w:rsidRDefault="005D7573" w:rsidP="00012A72">
      <w:pPr>
        <w:rPr>
          <w:noProof/>
        </w:rPr>
      </w:pPr>
      <w:r>
        <w:rPr>
          <w:noProof/>
        </w:rPr>
        <w:drawing>
          <wp:anchor distT="0" distB="0" distL="114300" distR="114300" simplePos="0" relativeHeight="251691008" behindDoc="0" locked="0" layoutInCell="1" allowOverlap="1">
            <wp:simplePos x="0" y="0"/>
            <wp:positionH relativeFrom="margin">
              <wp:posOffset>3543300</wp:posOffset>
            </wp:positionH>
            <wp:positionV relativeFrom="margin">
              <wp:posOffset>2543175</wp:posOffset>
            </wp:positionV>
            <wp:extent cx="3086735" cy="2438400"/>
            <wp:effectExtent l="0" t="0" r="0" b="0"/>
            <wp:wrapSquare wrapText="bothSides"/>
            <wp:docPr id="34"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t>There is no difference in the pass rates between those students having the prerequisite score on the Accuplacer exam and those that took Math 102 – both sets of students were properly prepared.</w:t>
      </w:r>
    </w:p>
    <w:p w:rsidR="006007F4" w:rsidRDefault="006007F4" w:rsidP="00012A72">
      <w:pPr>
        <w:rPr>
          <w:noProof/>
        </w:rPr>
      </w:pPr>
    </w:p>
    <w:p w:rsidR="00B93B76" w:rsidRDefault="000270E3" w:rsidP="00012A72">
      <w:pPr>
        <w:rPr>
          <w:noProof/>
        </w:rPr>
      </w:pPr>
      <w:r>
        <w:rPr>
          <w:noProof/>
        </w:rPr>
        <w:t>Two</w:t>
      </w:r>
      <w:r w:rsidR="005D7573">
        <w:rPr>
          <w:noProof/>
        </w:rPr>
        <w:t xml:space="preserve"> students withdrew from this course.</w:t>
      </w:r>
    </w:p>
    <w:p w:rsidR="006007F4" w:rsidRDefault="006007F4" w:rsidP="00012A72">
      <w:pPr>
        <w:rPr>
          <w:noProof/>
        </w:rPr>
      </w:pPr>
    </w:p>
    <w:p w:rsidR="006007F4" w:rsidRDefault="005D7573" w:rsidP="00012A72">
      <w:pPr>
        <w:rPr>
          <w:noProof/>
        </w:rPr>
      </w:pPr>
      <w:r>
        <w:rPr>
          <w:noProof/>
        </w:rPr>
        <w:t>Of the students that failed the course, one student was properly placed through her Accuplacer score</w:t>
      </w:r>
      <w:r w:rsidR="000270E3">
        <w:rPr>
          <w:noProof/>
        </w:rPr>
        <w:t>,</w:t>
      </w:r>
      <w:r>
        <w:rPr>
          <w:noProof/>
        </w:rPr>
        <w:t xml:space="preserve"> and t</w:t>
      </w:r>
      <w:r w:rsidR="000270E3">
        <w:rPr>
          <w:noProof/>
        </w:rPr>
        <w:t>he other student was a repeater</w:t>
      </w:r>
      <w:r>
        <w:rPr>
          <w:noProof/>
        </w:rPr>
        <w:t xml:space="preserve"> that failed the course again.</w:t>
      </w:r>
    </w:p>
    <w:p w:rsidR="006007F4" w:rsidRDefault="006007F4" w:rsidP="00012A72">
      <w:pPr>
        <w:rPr>
          <w:noProof/>
        </w:rPr>
      </w:pPr>
    </w:p>
    <w:p w:rsidR="006007F4" w:rsidRDefault="005D7573" w:rsidP="00012A72">
      <w:pPr>
        <w:rPr>
          <w:noProof/>
        </w:rPr>
      </w:pPr>
      <w:r>
        <w:rPr>
          <w:noProof/>
        </w:rPr>
        <w:t>One student was  placed</w:t>
      </w:r>
      <w:r w:rsidR="006007F4">
        <w:rPr>
          <w:noProof/>
        </w:rPr>
        <w:t xml:space="preserve"> into Math 123</w:t>
      </w:r>
      <w:r w:rsidR="007570C6">
        <w:rPr>
          <w:noProof/>
        </w:rPr>
        <w:t xml:space="preserve"> </w:t>
      </w:r>
      <w:r w:rsidR="00B93B76">
        <w:rPr>
          <w:noProof/>
        </w:rPr>
        <w:t>without the proper prerequisite</w:t>
      </w:r>
      <w:r>
        <w:rPr>
          <w:noProof/>
        </w:rPr>
        <w:t xml:space="preserve">s and this student struggled to </w:t>
      </w:r>
      <w:r w:rsidR="000270E3">
        <w:rPr>
          <w:noProof/>
        </w:rPr>
        <w:t xml:space="preserve">earn </w:t>
      </w:r>
      <w:r>
        <w:rPr>
          <w:noProof/>
        </w:rPr>
        <w:t>a grade of “D.”</w:t>
      </w:r>
    </w:p>
    <w:p w:rsidR="009538A4" w:rsidRDefault="00B93B76" w:rsidP="00012A72">
      <w:r w:rsidRPr="00B93B76">
        <w:rPr>
          <w:noProof/>
        </w:rPr>
        <w:t xml:space="preserve"> </w:t>
      </w:r>
    </w:p>
    <w:p w:rsidR="00B33102" w:rsidRDefault="00B33102" w:rsidP="00012A72"/>
    <w:p w:rsidR="00B33102" w:rsidRDefault="00B33102" w:rsidP="00012A72"/>
    <w:p w:rsidR="00B33102" w:rsidRDefault="00B33102" w:rsidP="00012A72"/>
    <w:p w:rsidR="00B33102" w:rsidRDefault="00B33102" w:rsidP="00012A72"/>
    <w:p w:rsidR="00417D0F" w:rsidRDefault="00417D0F" w:rsidP="00012A72"/>
    <w:p w:rsidR="00D65D9D" w:rsidRDefault="00D65D9D" w:rsidP="008E7C56">
      <w:pPr>
        <w:rPr>
          <w:b/>
        </w:rPr>
      </w:pPr>
    </w:p>
    <w:p w:rsidR="009A6CE9" w:rsidRDefault="009A6CE9"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5D7573" w:rsidRDefault="005D7573" w:rsidP="008E7C56">
      <w:pPr>
        <w:rPr>
          <w:b/>
        </w:rPr>
      </w:pPr>
    </w:p>
    <w:p w:rsidR="00495E5A" w:rsidRDefault="00495E5A" w:rsidP="00B05A42">
      <w:pPr>
        <w:rPr>
          <w:b/>
        </w:rPr>
      </w:pPr>
    </w:p>
    <w:p w:rsidR="00B05A42" w:rsidRDefault="00B05A42" w:rsidP="00B05A42">
      <w:pPr>
        <w:rPr>
          <w:b/>
        </w:rPr>
      </w:pPr>
      <w:r>
        <w:rPr>
          <w:b/>
        </w:rPr>
        <w:lastRenderedPageBreak/>
        <w:t>Part VI: Recommendations</w:t>
      </w:r>
    </w:p>
    <w:p w:rsidR="00B05A42" w:rsidRDefault="00B05A42" w:rsidP="00B05A42">
      <w:pPr>
        <w:rPr>
          <w:b/>
        </w:rPr>
      </w:pPr>
    </w:p>
    <w:p w:rsidR="00B05A42" w:rsidRDefault="00B05A42" w:rsidP="00B05A42">
      <w:pPr>
        <w:rPr>
          <w:b/>
        </w:rPr>
      </w:pPr>
      <w:r>
        <w:rPr>
          <w:b/>
        </w:rPr>
        <w:t>Follow-Up and Tracking of Previous Recommendations</w:t>
      </w:r>
    </w:p>
    <w:p w:rsidR="00B05A42" w:rsidRDefault="00B05A42" w:rsidP="00B05A42">
      <w:pPr>
        <w:rPr>
          <w:b/>
        </w:rPr>
      </w:pPr>
    </w:p>
    <w:p w:rsidR="00B05A42" w:rsidRPr="003A3BCE" w:rsidRDefault="00B05A42" w:rsidP="00B05A42">
      <w:pPr>
        <w:pStyle w:val="ListParagraph"/>
        <w:numPr>
          <w:ilvl w:val="0"/>
          <w:numId w:val="5"/>
        </w:numPr>
        <w:rPr>
          <w:b/>
        </w:rPr>
      </w:pPr>
      <w:r w:rsidRPr="003A3BCE">
        <w:rPr>
          <w:b/>
        </w:rPr>
        <w:t>Continue support of MyMathLab using Differentiated Instruction</w:t>
      </w:r>
    </w:p>
    <w:p w:rsidR="00B05A42" w:rsidRDefault="00B05A42" w:rsidP="00B05A42">
      <w:pPr>
        <w:rPr>
          <w:b/>
        </w:rPr>
      </w:pPr>
    </w:p>
    <w:p w:rsidR="00B05A42" w:rsidRPr="002477A3" w:rsidRDefault="00B05A42" w:rsidP="00B05A42">
      <w:r>
        <w:rPr>
          <w:b/>
        </w:rPr>
        <w:tab/>
      </w:r>
      <w:r>
        <w:t>MyMathLab coupled with an aggressive differentiated instructional model works for those students that complete the course.  Math 101S was rewritten in the Summer of 2010 and is now standardized.  Both Math 102 and Math 123 were rewritten in the Summer of 2011.  During the rewrite, both courses switched to a textbook that better meets the needs of students prior to pre-calculus and for pre-calculus. Math 123 incorporated MyMathLab during the Fall 2011 semester.  Math 108 was started in Spring 2012 and rewritten for the Fall 2012.  Pearson’s MyMathLab works for our student population when coupled with the daily quizzes, the Friday Labs and Monday Mathematics.  No single component would work alone, and all are needed to reach the diverse student population that we have.  STATUS:  Outcomes assessment is ongoing.</w:t>
      </w:r>
    </w:p>
    <w:p w:rsidR="00B05A42" w:rsidRDefault="00B05A42" w:rsidP="00B05A42">
      <w:pPr>
        <w:rPr>
          <w:b/>
        </w:rPr>
      </w:pPr>
    </w:p>
    <w:p w:rsidR="00B05A42" w:rsidRPr="003A3BCE" w:rsidRDefault="00B05A42" w:rsidP="00B05A42">
      <w:pPr>
        <w:pStyle w:val="ListParagraph"/>
        <w:numPr>
          <w:ilvl w:val="0"/>
          <w:numId w:val="5"/>
        </w:numPr>
        <w:rPr>
          <w:b/>
        </w:rPr>
      </w:pPr>
      <w:r w:rsidRPr="003A3BCE">
        <w:rPr>
          <w:b/>
        </w:rPr>
        <w:t>Aggressive follow-up on attendance</w:t>
      </w:r>
    </w:p>
    <w:p w:rsidR="00B05A42" w:rsidRDefault="00B05A42" w:rsidP="00B05A42">
      <w:pPr>
        <w:rPr>
          <w:b/>
        </w:rPr>
      </w:pPr>
    </w:p>
    <w:p w:rsidR="00B05A42" w:rsidRPr="008D4651" w:rsidRDefault="00B05A42" w:rsidP="00B05A42">
      <w:r>
        <w:rPr>
          <w:b/>
        </w:rPr>
        <w:tab/>
      </w:r>
      <w:r>
        <w:t>Mandatory attendance was incorporated into the syllabus of Math 101S for Spring 2010.  Outcomes of this policy still cannot be substantiated.  Data is inconclusive, and the use of a daily quiz (that cannot be made up) drives student attendance with an extrinsic value.  STATUS:  Remain Open</w:t>
      </w:r>
    </w:p>
    <w:p w:rsidR="00B05A42" w:rsidRDefault="00B05A42" w:rsidP="00B05A42">
      <w:pPr>
        <w:rPr>
          <w:b/>
        </w:rPr>
      </w:pPr>
    </w:p>
    <w:p w:rsidR="00B05A42" w:rsidRPr="003A3BCE" w:rsidRDefault="00B05A42" w:rsidP="00B05A42">
      <w:pPr>
        <w:pStyle w:val="ListParagraph"/>
        <w:numPr>
          <w:ilvl w:val="0"/>
          <w:numId w:val="5"/>
        </w:numPr>
        <w:rPr>
          <w:b/>
        </w:rPr>
      </w:pPr>
      <w:r w:rsidRPr="003A3BCE">
        <w:rPr>
          <w:b/>
        </w:rPr>
        <w:t>Creation of a Math 100 course paired with MyMathLab and a Lab component</w:t>
      </w:r>
    </w:p>
    <w:p w:rsidR="00B05A42" w:rsidRDefault="00B05A42" w:rsidP="00B05A42">
      <w:pPr>
        <w:rPr>
          <w:b/>
        </w:rPr>
      </w:pPr>
    </w:p>
    <w:p w:rsidR="000270E3" w:rsidRDefault="00B05A42" w:rsidP="00B05A42">
      <w:pPr>
        <w:pStyle w:val="Default"/>
        <w:rPr>
          <w:rFonts w:ascii="Times New Roman" w:hAnsi="Times New Roman" w:cs="Times New Roman"/>
          <w:color w:val="auto"/>
        </w:rPr>
      </w:pPr>
      <w:r>
        <w:rPr>
          <w:b/>
        </w:rPr>
        <w:tab/>
      </w:r>
      <w:r w:rsidRPr="0052514C">
        <w:rPr>
          <w:rFonts w:ascii="Times New Roman" w:hAnsi="Times New Roman" w:cs="Times New Roman"/>
          <w:color w:val="auto"/>
        </w:rPr>
        <w:t>Statistics fr</w:t>
      </w:r>
      <w:r>
        <w:rPr>
          <w:rFonts w:ascii="Times New Roman" w:hAnsi="Times New Roman" w:cs="Times New Roman"/>
          <w:color w:val="auto"/>
        </w:rPr>
        <w:t>om the pre-test diagnostic</w:t>
      </w:r>
      <w:r w:rsidRPr="0052514C">
        <w:rPr>
          <w:rFonts w:ascii="Times New Roman" w:hAnsi="Times New Roman" w:cs="Times New Roman"/>
          <w:color w:val="auto"/>
        </w:rPr>
        <w:t xml:space="preserve"> provide</w:t>
      </w:r>
      <w:r>
        <w:rPr>
          <w:rFonts w:ascii="Times New Roman" w:hAnsi="Times New Roman" w:cs="Times New Roman"/>
          <w:color w:val="auto"/>
        </w:rPr>
        <w:t>s</w:t>
      </w:r>
      <w:r w:rsidRPr="0052514C">
        <w:rPr>
          <w:rFonts w:ascii="Times New Roman" w:hAnsi="Times New Roman" w:cs="Times New Roman"/>
          <w:color w:val="auto"/>
        </w:rPr>
        <w:t xml:space="preserve"> evidence that</w:t>
      </w:r>
      <w:r>
        <w:rPr>
          <w:rFonts w:ascii="Times New Roman" w:hAnsi="Times New Roman" w:cs="Times New Roman"/>
          <w:color w:val="auto"/>
        </w:rPr>
        <w:t xml:space="preserve"> there are basic skills that</w:t>
      </w:r>
      <w:r w:rsidRPr="0052514C">
        <w:rPr>
          <w:rFonts w:ascii="Times New Roman" w:hAnsi="Times New Roman" w:cs="Times New Roman"/>
          <w:color w:val="auto"/>
        </w:rPr>
        <w:t xml:space="preserve"> students are lacking. </w:t>
      </w:r>
      <w:r>
        <w:rPr>
          <w:rFonts w:ascii="Times New Roman" w:hAnsi="Times New Roman" w:cs="Times New Roman"/>
          <w:color w:val="auto"/>
        </w:rPr>
        <w:t>Such skills include being able to multiply fractions, multiply negative integers, solve equations with one variable, divide fractions, subtract negative integers, and simplify fractions.  A</w:t>
      </w:r>
      <w:r w:rsidRPr="0052514C">
        <w:rPr>
          <w:rFonts w:ascii="Times New Roman" w:hAnsi="Times New Roman" w:cs="Times New Roman"/>
          <w:color w:val="auto"/>
        </w:rPr>
        <w:t xml:space="preserve"> </w:t>
      </w:r>
      <w:r>
        <w:rPr>
          <w:rFonts w:ascii="Times New Roman" w:hAnsi="Times New Roman" w:cs="Times New Roman"/>
          <w:color w:val="auto"/>
        </w:rPr>
        <w:t xml:space="preserve">Math 100 </w:t>
      </w:r>
      <w:r w:rsidRPr="0052514C">
        <w:rPr>
          <w:rFonts w:ascii="Times New Roman" w:hAnsi="Times New Roman" w:cs="Times New Roman"/>
          <w:color w:val="auto"/>
        </w:rPr>
        <w:t>course could serve to boost the pass rate of Math 101</w:t>
      </w:r>
      <w:r>
        <w:rPr>
          <w:rFonts w:ascii="Times New Roman" w:hAnsi="Times New Roman" w:cs="Times New Roman"/>
          <w:color w:val="auto"/>
        </w:rPr>
        <w:t>S and, consequently, reduce the w</w:t>
      </w:r>
      <w:r w:rsidRPr="0052514C">
        <w:rPr>
          <w:rFonts w:ascii="Times New Roman" w:hAnsi="Times New Roman" w:cs="Times New Roman"/>
          <w:color w:val="auto"/>
        </w:rPr>
        <w:t>ithdraw</w:t>
      </w:r>
      <w:r>
        <w:rPr>
          <w:rFonts w:ascii="Times New Roman" w:hAnsi="Times New Roman" w:cs="Times New Roman"/>
          <w:color w:val="auto"/>
        </w:rPr>
        <w:t>al</w:t>
      </w:r>
      <w:r w:rsidRPr="0052514C">
        <w:rPr>
          <w:rFonts w:ascii="Times New Roman" w:hAnsi="Times New Roman" w:cs="Times New Roman"/>
          <w:color w:val="auto"/>
        </w:rPr>
        <w:t xml:space="preserve"> and failure rates in Math 101S.</w:t>
      </w:r>
      <w:r>
        <w:rPr>
          <w:rFonts w:ascii="Times New Roman" w:hAnsi="Times New Roman" w:cs="Times New Roman"/>
          <w:color w:val="auto"/>
        </w:rPr>
        <w:t xml:space="preserve">  </w:t>
      </w:r>
    </w:p>
    <w:p w:rsidR="000270E3" w:rsidRDefault="000270E3" w:rsidP="00B05A42">
      <w:pPr>
        <w:pStyle w:val="Default"/>
        <w:rPr>
          <w:rFonts w:ascii="Times New Roman" w:hAnsi="Times New Roman" w:cs="Times New Roman"/>
          <w:color w:val="auto"/>
        </w:rPr>
      </w:pPr>
    </w:p>
    <w:p w:rsidR="00B05A42" w:rsidRDefault="000270E3" w:rsidP="00B05A42">
      <w:pPr>
        <w:pStyle w:val="Default"/>
        <w:rPr>
          <w:rFonts w:ascii="Times New Roman" w:hAnsi="Times New Roman" w:cs="Times New Roman"/>
          <w:color w:val="auto"/>
        </w:rPr>
      </w:pPr>
      <w:r>
        <w:rPr>
          <w:rFonts w:ascii="Times New Roman" w:hAnsi="Times New Roman" w:cs="Times New Roman"/>
          <w:color w:val="auto"/>
        </w:rPr>
        <w:t>We have found that the Math 101S lab component is already</w:t>
      </w:r>
      <w:r w:rsidR="00B05A42">
        <w:rPr>
          <w:rFonts w:ascii="Times New Roman" w:hAnsi="Times New Roman" w:cs="Times New Roman"/>
          <w:color w:val="auto"/>
        </w:rPr>
        <w:t xml:space="preserve"> effective in strengthening skills and reducing student reliance on the calculator.  </w:t>
      </w:r>
    </w:p>
    <w:p w:rsidR="00B05A42" w:rsidRDefault="00B05A42" w:rsidP="00B05A42">
      <w:pPr>
        <w:pStyle w:val="Default"/>
        <w:rPr>
          <w:rFonts w:ascii="Times New Roman" w:hAnsi="Times New Roman" w:cs="Times New Roman"/>
          <w:color w:val="auto"/>
        </w:rPr>
      </w:pPr>
    </w:p>
    <w:p w:rsidR="00B05A42" w:rsidRDefault="00B05A42" w:rsidP="00B05A42">
      <w:pPr>
        <w:pStyle w:val="Default"/>
        <w:rPr>
          <w:rFonts w:ascii="Times New Roman" w:hAnsi="Times New Roman" w:cs="Times New Roman"/>
          <w:color w:val="auto"/>
        </w:rPr>
      </w:pPr>
      <w:r>
        <w:rPr>
          <w:rFonts w:ascii="Times New Roman" w:hAnsi="Times New Roman" w:cs="Times New Roman"/>
          <w:color w:val="auto"/>
        </w:rPr>
        <w:t xml:space="preserve">The additional level of a pre-foundational course adds a semester to the students load and increases the amount of debt they will incur before graduation.  </w:t>
      </w:r>
      <w:r w:rsidR="000270E3">
        <w:rPr>
          <w:rFonts w:ascii="Times New Roman" w:hAnsi="Times New Roman" w:cs="Times New Roman"/>
          <w:color w:val="auto"/>
        </w:rPr>
        <w:t>Therefore, i</w:t>
      </w:r>
      <w:r>
        <w:rPr>
          <w:rFonts w:ascii="Times New Roman" w:hAnsi="Times New Roman" w:cs="Times New Roman"/>
          <w:color w:val="auto"/>
        </w:rPr>
        <w:t>t is more advantageous to the University and to the students to not add Math 100.  STATUS: Closed</w:t>
      </w:r>
    </w:p>
    <w:p w:rsidR="00B05A42" w:rsidRDefault="00B05A42" w:rsidP="00B05A42">
      <w:pPr>
        <w:pStyle w:val="Default"/>
        <w:rPr>
          <w:rFonts w:ascii="Times New Roman" w:hAnsi="Times New Roman" w:cs="Times New Roman"/>
          <w:color w:val="auto"/>
        </w:rPr>
      </w:pPr>
    </w:p>
    <w:p w:rsidR="00B05A42" w:rsidRPr="003A3BCE" w:rsidRDefault="00B05A42" w:rsidP="00B05A42">
      <w:pPr>
        <w:pStyle w:val="ListParagraph"/>
        <w:numPr>
          <w:ilvl w:val="0"/>
          <w:numId w:val="5"/>
        </w:numPr>
        <w:rPr>
          <w:b/>
        </w:rPr>
      </w:pPr>
      <w:r w:rsidRPr="003A3BCE">
        <w:rPr>
          <w:b/>
        </w:rPr>
        <w:t>Benchmarks</w:t>
      </w:r>
    </w:p>
    <w:p w:rsidR="00B05A42" w:rsidRDefault="00B05A42" w:rsidP="00B05A42">
      <w:pPr>
        <w:rPr>
          <w:b/>
        </w:rPr>
      </w:pPr>
    </w:p>
    <w:p w:rsidR="00B05A42" w:rsidRPr="00D37D4F" w:rsidRDefault="00B05A42" w:rsidP="00B05A42">
      <w:r>
        <w:tab/>
        <w:t xml:space="preserve">Benchmarks as currently set are solid; these numbers have been distributed and are being utilized.  Benchmarks should continue to be re-examined with each incoming freshman class so that Trinity stays current with the proficiency and skill levels of these students and that we adjust to accommodate them.  With the addition of the Math 108 </w:t>
      </w:r>
      <w:r w:rsidR="000270E3">
        <w:t>Finite</w:t>
      </w:r>
      <w:r>
        <w:t xml:space="preserve"> Mathematics course</w:t>
      </w:r>
      <w:r w:rsidR="000270E3">
        <w:t>, an in-</w:t>
      </w:r>
      <w:r w:rsidR="000270E3">
        <w:lastRenderedPageBreak/>
        <w:t>depth</w:t>
      </w:r>
      <w:r>
        <w:t xml:space="preserve"> </w:t>
      </w:r>
      <w:r w:rsidR="000270E3">
        <w:t>analysis should be made over</w:t>
      </w:r>
      <w:r>
        <w:t xml:space="preserve"> Summer 2012 to examine any trends that may need to be adjusted.  STATUS:  Remain Open</w:t>
      </w:r>
    </w:p>
    <w:p w:rsidR="00B05A42" w:rsidRDefault="00B05A42" w:rsidP="00B05A42">
      <w:pPr>
        <w:rPr>
          <w:b/>
        </w:rPr>
      </w:pPr>
    </w:p>
    <w:p w:rsidR="00B05A42" w:rsidRPr="003A3BCE" w:rsidRDefault="00B05A42" w:rsidP="00B05A42">
      <w:pPr>
        <w:pStyle w:val="ListParagraph"/>
        <w:numPr>
          <w:ilvl w:val="0"/>
          <w:numId w:val="5"/>
        </w:numPr>
        <w:rPr>
          <w:b/>
        </w:rPr>
      </w:pPr>
      <w:r w:rsidRPr="003A3BCE">
        <w:rPr>
          <w:b/>
        </w:rPr>
        <w:t>Proper Placement</w:t>
      </w:r>
    </w:p>
    <w:p w:rsidR="00B05A42" w:rsidRDefault="00B05A42" w:rsidP="00B05A42">
      <w:pPr>
        <w:rPr>
          <w:b/>
        </w:rPr>
      </w:pPr>
    </w:p>
    <w:p w:rsidR="00B05A42" w:rsidRPr="00D37D4F" w:rsidRDefault="00B05A42" w:rsidP="00B05A42">
      <w:r>
        <w:tab/>
        <w:t xml:space="preserve">Students were improperly placed for the Fall 2012 semester in Math 108 and Math 123 with negative effects on the students overall grade.   The “zero exception” policy </w:t>
      </w:r>
      <w:r w:rsidR="00442797">
        <w:t>needs to be strengthened</w:t>
      </w:r>
      <w:r>
        <w:t>.   STATUS: Continue to monitor and track</w:t>
      </w:r>
    </w:p>
    <w:p w:rsidR="00B05A42" w:rsidRDefault="00B05A42" w:rsidP="00B05A42">
      <w:pPr>
        <w:rPr>
          <w:b/>
        </w:rPr>
      </w:pPr>
    </w:p>
    <w:p w:rsidR="00B05A42" w:rsidRPr="003A3BCE" w:rsidRDefault="00B05A42" w:rsidP="00B05A42">
      <w:pPr>
        <w:pStyle w:val="ListParagraph"/>
        <w:numPr>
          <w:ilvl w:val="0"/>
          <w:numId w:val="5"/>
        </w:numPr>
        <w:rPr>
          <w:b/>
        </w:rPr>
      </w:pPr>
      <w:r w:rsidRPr="003A3BCE">
        <w:rPr>
          <w:b/>
        </w:rPr>
        <w:t>Adopt a grade option of “R” for Math 101S</w:t>
      </w:r>
    </w:p>
    <w:p w:rsidR="00B05A42" w:rsidRPr="001F5BC6" w:rsidRDefault="00B05A42" w:rsidP="00B05A42"/>
    <w:p w:rsidR="00442797" w:rsidRPr="00442797" w:rsidRDefault="00B05A42" w:rsidP="00442797">
      <w:pPr>
        <w:pStyle w:val="Default"/>
        <w:rPr>
          <w:rFonts w:ascii="Times New Roman" w:hAnsi="Times New Roman" w:cs="Times New Roman"/>
        </w:rPr>
      </w:pPr>
      <w:r>
        <w:rPr>
          <w:b/>
        </w:rPr>
        <w:tab/>
      </w:r>
      <w:r w:rsidR="00442797">
        <w:t>Previous reports had request the alternative use of a grade of “R” for students that complete the course but did not pass.  The addition of Mastery Grading on the first two exams, coupled with opportunities to re-test in Math 101S have alleviated this concern to use an “R.”</w:t>
      </w:r>
    </w:p>
    <w:p w:rsidR="00B05A42" w:rsidRPr="002477A3" w:rsidRDefault="00442797" w:rsidP="002477A3">
      <w:pPr>
        <w:pStyle w:val="Default"/>
        <w:rPr>
          <w:rFonts w:ascii="Times New Roman" w:hAnsi="Times New Roman" w:cs="Times New Roman"/>
        </w:rPr>
      </w:pPr>
      <w:r>
        <w:rPr>
          <w:rFonts w:ascii="Times New Roman" w:hAnsi="Times New Roman" w:cs="Times New Roman"/>
        </w:rPr>
        <w:t>STATUS: Closed</w:t>
      </w:r>
    </w:p>
    <w:p w:rsidR="00B05A42" w:rsidRDefault="00B05A42" w:rsidP="00B05A42">
      <w:pPr>
        <w:rPr>
          <w:b/>
        </w:rPr>
      </w:pPr>
    </w:p>
    <w:p w:rsidR="00B05A42" w:rsidRPr="003A3BCE" w:rsidRDefault="00B05A42" w:rsidP="00B05A42">
      <w:pPr>
        <w:pStyle w:val="ListParagraph"/>
        <w:numPr>
          <w:ilvl w:val="0"/>
          <w:numId w:val="5"/>
        </w:numPr>
        <w:rPr>
          <w:b/>
        </w:rPr>
      </w:pPr>
      <w:r w:rsidRPr="003A3BCE">
        <w:rPr>
          <w:b/>
        </w:rPr>
        <w:t>A Permanent Home for Monday Mathematics</w:t>
      </w:r>
    </w:p>
    <w:p w:rsidR="00B05A42" w:rsidRDefault="00B05A42" w:rsidP="00B05A42">
      <w:pPr>
        <w:rPr>
          <w:b/>
        </w:rPr>
      </w:pPr>
    </w:p>
    <w:p w:rsidR="00B05A42" w:rsidRDefault="00442797" w:rsidP="00B05A42">
      <w:r>
        <w:t xml:space="preserve"> </w:t>
      </w:r>
      <w:r>
        <w:tab/>
        <w:t>T</w:t>
      </w:r>
      <w:r w:rsidR="00B05A42">
        <w:t xml:space="preserve">he Provost </w:t>
      </w:r>
      <w:r>
        <w:t>has continuously approved</w:t>
      </w:r>
      <w:r w:rsidR="00B05A42">
        <w:t xml:space="preserve"> Monday Mathematics </w:t>
      </w:r>
      <w:r>
        <w:t>to be held in</w:t>
      </w:r>
      <w:r w:rsidR="00B05A42">
        <w:t xml:space="preserve"> the Library Seminar roo</w:t>
      </w:r>
      <w:r>
        <w:t>m.</w:t>
      </w:r>
      <w:r w:rsidR="00B05A42">
        <w:t xml:space="preserve">  ST</w:t>
      </w:r>
      <w:r>
        <w:t>ATUS:  Closed</w:t>
      </w:r>
    </w:p>
    <w:p w:rsidR="00B05A42" w:rsidRDefault="00B05A42" w:rsidP="00B05A42">
      <w:pPr>
        <w:rPr>
          <w:b/>
        </w:rPr>
      </w:pPr>
    </w:p>
    <w:p w:rsidR="00B05A42" w:rsidRDefault="00B05A42" w:rsidP="00B05A42">
      <w:pPr>
        <w:pStyle w:val="ListParagraph"/>
        <w:numPr>
          <w:ilvl w:val="0"/>
          <w:numId w:val="5"/>
        </w:numPr>
        <w:rPr>
          <w:b/>
        </w:rPr>
      </w:pPr>
      <w:r w:rsidRPr="003A3BCE">
        <w:rPr>
          <w:b/>
        </w:rPr>
        <w:t>Withdrawal Survey</w:t>
      </w:r>
    </w:p>
    <w:p w:rsidR="00B05A42" w:rsidRDefault="00B05A42" w:rsidP="00B05A42">
      <w:pPr>
        <w:pStyle w:val="ListParagraph"/>
        <w:ind w:left="1440"/>
        <w:rPr>
          <w:b/>
        </w:rPr>
      </w:pPr>
    </w:p>
    <w:p w:rsidR="00B05A42" w:rsidRPr="00065FB4" w:rsidRDefault="00B05A42" w:rsidP="00442797">
      <w:r>
        <w:tab/>
      </w:r>
      <w:r w:rsidR="00442797">
        <w:t>It had been previous</w:t>
      </w:r>
      <w:r w:rsidR="000270E3">
        <w:t>ly</w:t>
      </w:r>
      <w:r w:rsidR="00442797">
        <w:t xml:space="preserve"> reported for three years that the withdrawal rate had not decreased and that a survey was needed to addr</w:t>
      </w:r>
      <w:r w:rsidR="000270E3">
        <w:t xml:space="preserve">ess this issue. </w:t>
      </w:r>
      <w:r w:rsidR="00442797">
        <w:t xml:space="preserve"> The addition of Mastery Grading on the first two exams, coupled with opportunities to re-test in Math 101S have alleviated this problem.  STATUS:  Closed</w:t>
      </w:r>
    </w:p>
    <w:p w:rsidR="00B05A42" w:rsidRDefault="00B05A42" w:rsidP="00B05A42">
      <w:pPr>
        <w:rPr>
          <w:b/>
        </w:rPr>
      </w:pPr>
    </w:p>
    <w:p w:rsidR="00B05A42" w:rsidRDefault="00B05A42" w:rsidP="00B05A42">
      <w:pPr>
        <w:pStyle w:val="ListParagraph"/>
        <w:numPr>
          <w:ilvl w:val="0"/>
          <w:numId w:val="5"/>
        </w:numPr>
        <w:rPr>
          <w:b/>
        </w:rPr>
      </w:pPr>
      <w:r w:rsidRPr="003A3BCE">
        <w:rPr>
          <w:b/>
        </w:rPr>
        <w:t>Mid-Term Survey</w:t>
      </w:r>
    </w:p>
    <w:p w:rsidR="00B05A42" w:rsidRPr="00903672" w:rsidRDefault="00B05A42" w:rsidP="00B05A42">
      <w:pPr>
        <w:ind w:left="1080"/>
        <w:rPr>
          <w:b/>
        </w:rPr>
      </w:pPr>
    </w:p>
    <w:p w:rsidR="00B05A42" w:rsidRDefault="000270E3" w:rsidP="00B05A42">
      <w:r>
        <w:tab/>
        <w:t xml:space="preserve">Students receive </w:t>
      </w:r>
      <w:r w:rsidR="00B05A42">
        <w:t xml:space="preserve"> mid-term grades to give them an idea of where they currently stand in the class grade-wise.  Some also receive “early alerts” so they can sit down with their academic advisors and make adjustments to their study habits or skills to become successfu</w:t>
      </w:r>
      <w:r w:rsidR="00442797">
        <w:t>l at the semester’s end.  It has been</w:t>
      </w:r>
      <w:r w:rsidR="00B05A42">
        <w:t xml:space="preserve"> recommend</w:t>
      </w:r>
      <w:r w:rsidR="00442797">
        <w:t>ed in the last few staff reports</w:t>
      </w:r>
      <w:r w:rsidR="00B05A42">
        <w:t xml:space="preserve"> that we add a mid-term evaluation on Moodle for students to also give the faculty some feedback at this point in the semester.</w:t>
      </w:r>
    </w:p>
    <w:p w:rsidR="00B05A42" w:rsidRDefault="00B05A42" w:rsidP="00B05A42"/>
    <w:p w:rsidR="00B05A42" w:rsidRDefault="00B05A42" w:rsidP="00B05A42">
      <w:r>
        <w:t>For first year freshman this is very important and the questions can be geared around that group.  Some students at mid-term still do not know where the Academic Services Center is located, and some are still struggling with the academic vocabulary (Dean, Provost, Drop/Add period, Registration, Academic Probation, Satisfactory Academic Performance, etc.).</w:t>
      </w:r>
    </w:p>
    <w:p w:rsidR="00B05A42" w:rsidRDefault="00B05A42" w:rsidP="00B05A42"/>
    <w:p w:rsidR="00B05A42" w:rsidRPr="002477A3" w:rsidRDefault="00B05A42" w:rsidP="00B05A42">
      <w:r>
        <w:t>The survey would need questions that could focus on what can be done (by all interested parties) between now and the end of the</w:t>
      </w:r>
      <w:r w:rsidR="000270E3">
        <w:t xml:space="preserve"> semester to improve instructors’ ability to provide student support</w:t>
      </w:r>
      <w:r>
        <w:t xml:space="preserve"> and allow students the opportunity to provide some constructive feedback and possibly a space to vent some, if need be.  STATUS: Ope</w:t>
      </w:r>
      <w:r w:rsidR="002477A3">
        <w:t>n</w:t>
      </w:r>
    </w:p>
    <w:p w:rsidR="00B05A42" w:rsidRDefault="00B05A42" w:rsidP="00B05A42">
      <w:pPr>
        <w:pStyle w:val="ListParagraph"/>
        <w:numPr>
          <w:ilvl w:val="0"/>
          <w:numId w:val="5"/>
        </w:numPr>
        <w:rPr>
          <w:b/>
        </w:rPr>
      </w:pPr>
      <w:r>
        <w:rPr>
          <w:b/>
        </w:rPr>
        <w:lastRenderedPageBreak/>
        <w:t>News Release</w:t>
      </w:r>
    </w:p>
    <w:p w:rsidR="00B05A42" w:rsidRDefault="00B05A42" w:rsidP="00B05A42">
      <w:pPr>
        <w:rPr>
          <w:b/>
        </w:rPr>
      </w:pPr>
      <w:r>
        <w:rPr>
          <w:b/>
        </w:rPr>
        <w:tab/>
      </w:r>
    </w:p>
    <w:p w:rsidR="00B05A42" w:rsidRDefault="00B05A42" w:rsidP="00B05A42">
      <w:r>
        <w:rPr>
          <w:b/>
        </w:rPr>
        <w:tab/>
      </w:r>
      <w:r w:rsidRPr="00A10585">
        <w:t>Developmental</w:t>
      </w:r>
      <w:r>
        <w:t xml:space="preserve"> Mathematics and its success/pass rates, and retention rates are hot topics currently in not only the academic world and its publications, newsletters and websites but all across the country in the mainstream media as well.  We have the data, we have the results, and</w:t>
      </w:r>
      <w:r w:rsidR="000270E3">
        <w:t>,</w:t>
      </w:r>
      <w:r>
        <w:t xml:space="preserve"> by every comparative analysis</w:t>
      </w:r>
      <w:r w:rsidR="000270E3">
        <w:t>,</w:t>
      </w:r>
      <w:r>
        <w:t xml:space="preserve"> it shows that Trinity is above the national trends.  Let’s tell the world our story.</w:t>
      </w:r>
      <w:r w:rsidR="00F72BB1">
        <w:t xml:space="preserve">  STATUS:  Open</w:t>
      </w:r>
    </w:p>
    <w:p w:rsidR="00B05A42" w:rsidRDefault="00B05A42" w:rsidP="00B05A42"/>
    <w:p w:rsidR="00B05A42" w:rsidRDefault="00B05A42" w:rsidP="00B05A42">
      <w:pPr>
        <w:pStyle w:val="ListParagraph"/>
        <w:numPr>
          <w:ilvl w:val="0"/>
          <w:numId w:val="5"/>
        </w:numPr>
        <w:rPr>
          <w:b/>
        </w:rPr>
      </w:pPr>
      <w:r w:rsidRPr="00A10585">
        <w:rPr>
          <w:b/>
        </w:rPr>
        <w:t>Conference</w:t>
      </w:r>
    </w:p>
    <w:p w:rsidR="00B05A42" w:rsidRDefault="00B05A42" w:rsidP="00B05A42">
      <w:pPr>
        <w:rPr>
          <w:b/>
        </w:rPr>
      </w:pPr>
      <w:r>
        <w:rPr>
          <w:b/>
        </w:rPr>
        <w:tab/>
      </w:r>
    </w:p>
    <w:p w:rsidR="00B05A42" w:rsidRDefault="00B05A42" w:rsidP="00B05A42">
      <w:r>
        <w:rPr>
          <w:b/>
        </w:rPr>
        <w:tab/>
      </w:r>
      <w:r>
        <w:t>Recommend that we explore the possibility of bringing a Developmental Mathematics Conference to Trinity.</w:t>
      </w:r>
      <w:r w:rsidR="00F72BB1">
        <w:t xml:space="preserve">  STATUS:  Open</w:t>
      </w:r>
    </w:p>
    <w:p w:rsidR="00F72BB1" w:rsidRDefault="00F72BB1" w:rsidP="00B05A42"/>
    <w:p w:rsidR="00F72BB1" w:rsidRDefault="00F72BB1" w:rsidP="00B05A42">
      <w:pPr>
        <w:rPr>
          <w:b/>
        </w:rPr>
      </w:pPr>
    </w:p>
    <w:p w:rsidR="00F72BB1" w:rsidRDefault="00F72BB1" w:rsidP="00B05A42">
      <w:pPr>
        <w:rPr>
          <w:b/>
        </w:rPr>
      </w:pPr>
      <w:r>
        <w:rPr>
          <w:b/>
        </w:rPr>
        <w:t>New Recommendations</w:t>
      </w:r>
    </w:p>
    <w:p w:rsidR="00F72BB1" w:rsidRDefault="00F72BB1" w:rsidP="00B05A42">
      <w:pPr>
        <w:rPr>
          <w:b/>
        </w:rPr>
      </w:pPr>
    </w:p>
    <w:p w:rsidR="00F72BB1" w:rsidRPr="00F72BB1" w:rsidRDefault="00F72BB1" w:rsidP="00B05A42">
      <w:r>
        <w:rPr>
          <w:b/>
        </w:rPr>
        <w:tab/>
      </w:r>
      <w:r>
        <w:t>Monday Mathematics has proven to be a success, and</w:t>
      </w:r>
      <w:r w:rsidR="000270E3">
        <w:t>,</w:t>
      </w:r>
      <w:r>
        <w:t xml:space="preserve"> at times (in particular before exams)</w:t>
      </w:r>
      <w:r w:rsidR="000270E3">
        <w:t>, the</w:t>
      </w:r>
      <w:r>
        <w:t xml:space="preserve"> number of students attending is overwhelming.  </w:t>
      </w:r>
      <w:r w:rsidR="006C4FC7">
        <w:t>Currently</w:t>
      </w:r>
      <w:r w:rsidR="000270E3">
        <w:t>,</w:t>
      </w:r>
      <w:r>
        <w:t xml:space="preserve"> two full time </w:t>
      </w:r>
      <w:r w:rsidR="006C4FC7">
        <w:t>specialists</w:t>
      </w:r>
      <w:r>
        <w:t xml:space="preserve"> and three student assistants (tutors) cover the two sessions.  Consideration needs to be given to increase the number of student assistants on anticipated high volume dates.</w:t>
      </w:r>
    </w:p>
    <w:p w:rsidR="00F72BB1" w:rsidRPr="00F72BB1" w:rsidRDefault="00F72BB1" w:rsidP="00B05A42">
      <w:pPr>
        <w:rPr>
          <w:b/>
        </w:rPr>
      </w:pPr>
    </w:p>
    <w:p w:rsidR="00B05A42" w:rsidRDefault="00B05A42" w:rsidP="00B05A42"/>
    <w:p w:rsidR="00B05A42" w:rsidRPr="00D8172D" w:rsidRDefault="00B05A42" w:rsidP="00B05A42">
      <w:pPr>
        <w:rPr>
          <w:b/>
        </w:rPr>
      </w:pPr>
      <w:r w:rsidRPr="00D8172D">
        <w:rPr>
          <w:b/>
        </w:rPr>
        <w:t>Part VII</w:t>
      </w:r>
      <w:r>
        <w:rPr>
          <w:b/>
        </w:rPr>
        <w:t>:</w:t>
      </w:r>
      <w:r w:rsidRPr="00D8172D">
        <w:rPr>
          <w:b/>
        </w:rPr>
        <w:t xml:space="preserve"> Conclusions</w:t>
      </w:r>
    </w:p>
    <w:p w:rsidR="00B05A42" w:rsidRPr="00D8172D" w:rsidRDefault="00B05A42" w:rsidP="00B05A42">
      <w:pPr>
        <w:rPr>
          <w:b/>
        </w:rPr>
      </w:pPr>
    </w:p>
    <w:p w:rsidR="00B05A42" w:rsidRPr="006C4FC7" w:rsidRDefault="00B05A42" w:rsidP="00B05A42">
      <w:pPr>
        <w:sectPr w:rsidR="00B05A42" w:rsidRPr="006C4FC7" w:rsidSect="004B2AD9">
          <w:type w:val="continuous"/>
          <w:pgSz w:w="12240" w:h="15840"/>
          <w:pgMar w:top="1440" w:right="1440" w:bottom="1440" w:left="1440" w:header="720" w:footer="720" w:gutter="0"/>
          <w:cols w:space="720"/>
          <w:docGrid w:linePitch="360"/>
        </w:sectPr>
      </w:pPr>
      <w:r>
        <w:tab/>
      </w:r>
      <w:r w:rsidR="006C4FC7">
        <w:t>Math 101S is where it was envisioned back in Fall 2009.  It is a strong introd</w:t>
      </w:r>
      <w:r w:rsidR="005E32FB">
        <w:t>uctory course with math content; it builds student</w:t>
      </w:r>
      <w:r w:rsidR="006C4FC7">
        <w:t>s</w:t>
      </w:r>
      <w:r w:rsidR="005E32FB">
        <w:t>’ self-efficacy;</w:t>
      </w:r>
      <w:r w:rsidR="006C4FC7">
        <w:t xml:space="preserve"> the pass rates are high and the retention rates are equally high.  For the most part, the course can be replicated by others.  Two different mathematics specialists have taught the course, </w:t>
      </w:r>
      <w:r w:rsidR="005E32FB">
        <w:t>and two adjuncts as well as</w:t>
      </w:r>
      <w:r w:rsidR="006C4FC7">
        <w:t xml:space="preserve"> one full time tenure track faculty have also taught using this pedagogy.  As the USA gymnastics team used to say to each other before performing a routine “just normal” and that resulted in a gold medal.  “Just normal” for the next semester with Math 101S and all other </w:t>
      </w:r>
      <w:r w:rsidR="002477A3">
        <w:t>math courses</w:t>
      </w:r>
      <w:r w:rsidR="005E32FB">
        <w:t xml:space="preserve"> that</w:t>
      </w:r>
      <w:r w:rsidR="002477A3">
        <w:t xml:space="preserve"> follow it in the sequence.</w:t>
      </w:r>
    </w:p>
    <w:p w:rsidR="008E7C56" w:rsidRPr="005F6486" w:rsidRDefault="008E7C56" w:rsidP="008E7C56">
      <w:pPr>
        <w:rPr>
          <w:b/>
        </w:rPr>
      </w:pPr>
      <w:r w:rsidRPr="005F6486">
        <w:rPr>
          <w:b/>
        </w:rPr>
        <w:lastRenderedPageBreak/>
        <w:t>Part VIII</w:t>
      </w:r>
      <w:r w:rsidR="00A4215B">
        <w:rPr>
          <w:b/>
        </w:rPr>
        <w:t>:</w:t>
      </w:r>
      <w:r w:rsidRPr="005F6486">
        <w:rPr>
          <w:b/>
        </w:rPr>
        <w:t xml:space="preserve"> Appendix</w:t>
      </w:r>
    </w:p>
    <w:p w:rsidR="00D960F8" w:rsidRPr="00D960F8" w:rsidRDefault="00D960F8" w:rsidP="00D960F8">
      <w:pPr>
        <w:jc w:val="center"/>
        <w:rPr>
          <w:b/>
        </w:rPr>
      </w:pPr>
      <w:r w:rsidRPr="00D960F8">
        <w:rPr>
          <w:b/>
        </w:rPr>
        <w:t>Math</w:t>
      </w:r>
      <w:r w:rsidR="005F6486">
        <w:rPr>
          <w:b/>
        </w:rPr>
        <w:t xml:space="preserve"> 101S Introductory Algebra </w:t>
      </w:r>
    </w:p>
    <w:p w:rsidR="00D960F8" w:rsidRPr="00D960F8" w:rsidRDefault="00D960F8" w:rsidP="00012A72"/>
    <w:p w:rsidR="008E7C56" w:rsidRDefault="008E7C56" w:rsidP="00012A72">
      <w:pPr>
        <w:rPr>
          <w:lang w:val="fr-FR"/>
        </w:rPr>
      </w:pPr>
    </w:p>
    <w:tbl>
      <w:tblPr>
        <w:tblW w:w="119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54"/>
        <w:gridCol w:w="820"/>
        <w:gridCol w:w="1186"/>
        <w:gridCol w:w="1600"/>
        <w:gridCol w:w="762"/>
        <w:gridCol w:w="800"/>
        <w:gridCol w:w="822"/>
        <w:gridCol w:w="1146"/>
        <w:gridCol w:w="1146"/>
        <w:gridCol w:w="607"/>
        <w:gridCol w:w="767"/>
        <w:gridCol w:w="905"/>
      </w:tblGrid>
      <w:tr w:rsidR="004B2AD9" w:rsidRPr="004B2AD9" w:rsidTr="004B2AD9">
        <w:trPr>
          <w:trHeight w:val="9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97.8</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89.9</w:t>
            </w:r>
          </w:p>
        </w:tc>
        <w:tc>
          <w:tcPr>
            <w:tcW w:w="1146" w:type="dxa"/>
            <w:shd w:val="clear" w:color="auto" w:fill="auto"/>
            <w:noWrap/>
            <w:vAlign w:val="bottom"/>
            <w:hideMark/>
          </w:tcPr>
          <w:p w:rsidR="004B2AD9" w:rsidRPr="004B2AD9" w:rsidRDefault="004B2AD9" w:rsidP="004B2AD9">
            <w:pPr>
              <w:jc w:val="right"/>
              <w:rPr>
                <w:rFonts w:ascii="Calibri" w:hAnsi="Calibri" w:cs="Calibri"/>
                <w:sz w:val="22"/>
                <w:szCs w:val="22"/>
              </w:rPr>
            </w:pPr>
            <w:r w:rsidRPr="004B2AD9">
              <w:rPr>
                <w:rFonts w:ascii="Calibri" w:hAnsi="Calibri" w:cs="Calibri"/>
                <w:sz w:val="22"/>
                <w:szCs w:val="22"/>
              </w:rPr>
              <w:t>43.3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72.5</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0.69</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 xml:space="preserve">F </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55.2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58.2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0.51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54.4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64.6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 xml:space="preserve">F </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2.63</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0.51</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0.46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0.85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80.1</w:t>
            </w: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r w:rsidRPr="004B2AD9">
              <w:rPr>
                <w:rFonts w:ascii="Calibri" w:hAnsi="Calibri" w:cs="Calibri"/>
                <w:color w:val="000000"/>
                <w:sz w:val="22"/>
                <w:szCs w:val="22"/>
              </w:rPr>
              <w:t>95.1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79.9</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49.2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0.99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73.9</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67.5</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0.95</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74.8</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64.2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64.2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0.85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1.26</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 xml:space="preserve">F </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72.4</w:t>
            </w: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r w:rsidRPr="004B2AD9">
              <w:rPr>
                <w:rFonts w:ascii="Calibri" w:hAnsi="Calibri" w:cs="Calibri"/>
                <w:color w:val="000000"/>
                <w:sz w:val="22"/>
                <w:szCs w:val="22"/>
              </w:rPr>
              <w:t>84.6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77.5</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64</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78.7</w:t>
            </w:r>
          </w:p>
        </w:tc>
        <w:tc>
          <w:tcPr>
            <w:tcW w:w="822" w:type="dxa"/>
            <w:shd w:val="clear" w:color="auto" w:fill="auto"/>
            <w:noWrap/>
            <w:vAlign w:val="bottom"/>
            <w:hideMark/>
          </w:tcPr>
          <w:p w:rsidR="004B2AD9" w:rsidRPr="004B2AD9" w:rsidRDefault="004B2AD9" w:rsidP="004B2AD9">
            <w:pPr>
              <w:jc w:val="center"/>
              <w:rPr>
                <w:rFonts w:ascii="Calibri" w:hAnsi="Calibri" w:cs="Calibri"/>
                <w:sz w:val="22"/>
                <w:szCs w:val="22"/>
              </w:rPr>
            </w:pPr>
            <w:r w:rsidRPr="004B2AD9">
              <w:rPr>
                <w:rFonts w:ascii="Calibri" w:hAnsi="Calibri" w:cs="Calibri"/>
                <w:sz w:val="22"/>
                <w:szCs w:val="22"/>
              </w:rPr>
              <w:t>92.6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57.8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2.14</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61.4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1.76</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0.28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42.5</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0.88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110</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0.94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 xml:space="preserve">F </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38.8</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28.4</w:t>
            </w: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0.71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44.2</w:t>
            </w: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r w:rsidRPr="004B2AD9">
              <w:rPr>
                <w:rFonts w:ascii="Calibri" w:hAnsi="Calibri" w:cs="Calibri"/>
                <w:color w:val="000000"/>
                <w:sz w:val="22"/>
                <w:szCs w:val="22"/>
              </w:rPr>
              <w:t>46.9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1.79</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0.99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52.5</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2.18</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60.8</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61.1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68.3</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0.27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57.2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113</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2.32</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116</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0.47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119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 xml:space="preserve">F </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61.2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49.7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124</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0.99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64.2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NR - Fin Hold</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54.7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86.8</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134</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2362" w:type="dxa"/>
            <w:gridSpan w:val="2"/>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0.53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85.8</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75.6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123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57.2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1.33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82.5</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89.9</w:t>
            </w: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r w:rsidRPr="004B2AD9">
              <w:rPr>
                <w:rFonts w:ascii="Calibri" w:hAnsi="Calibri" w:cs="Calibri"/>
                <w:color w:val="000000"/>
                <w:sz w:val="22"/>
                <w:szCs w:val="22"/>
              </w:rPr>
              <w:t>97.9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149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73.8</w:t>
            </w:r>
          </w:p>
        </w:tc>
        <w:tc>
          <w:tcPr>
            <w:tcW w:w="822" w:type="dxa"/>
            <w:shd w:val="clear" w:color="auto" w:fill="auto"/>
            <w:noWrap/>
            <w:vAlign w:val="bottom"/>
            <w:hideMark/>
          </w:tcPr>
          <w:p w:rsidR="004B2AD9" w:rsidRPr="004B2AD9" w:rsidRDefault="004B2AD9" w:rsidP="004B2AD9">
            <w:pPr>
              <w:jc w:val="center"/>
              <w:rPr>
                <w:rFonts w:ascii="Calibri" w:hAnsi="Calibri" w:cs="Calibri"/>
                <w:b/>
                <w:bCs/>
                <w:color w:val="FF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54.7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jc w:val="cente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1.24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152</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2.18</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154</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3.22</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155</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92.8</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2.43</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65.7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93.4</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94.4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70.9</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 xml:space="preserve">B </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59.4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77.2</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167</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Not Reg</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168</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0.49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169</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58.1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40.3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62.8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170</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1.69</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Reg - No Math</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2.51</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55.2</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38.3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92.7</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92.1</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36.7</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3.25</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176</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99.5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3.05</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28</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92.6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95.5</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90.6</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Repeat</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1.54</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68.6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46.3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181</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182</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74.8</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56.7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98.4</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76.7</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2.43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34</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32</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183</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93.3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96.3</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91.3</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100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50</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81.1</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3.94</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41</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184</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76.2</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76.5</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76.8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25.6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71.4</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52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185</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102</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88.1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81.4</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97.1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63.3</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3.01</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186</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29</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187</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85.6</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83.6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84.9</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95.9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23.9</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60.6</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3.56</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188</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85.1</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108</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77.6</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85.8</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87.8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73.6</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77.8</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2.62</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67</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Overall Final Grade</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Letter Grade</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Comments</w:t>
            </w: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Spring 2013</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Final Exam Grade</w:t>
            </w: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Grade Prior to Final</w:t>
            </w: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Home- work Grade</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Pre-Test</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Diagnostic Post-Test</w:t>
            </w:r>
          </w:p>
        </w:tc>
        <w:tc>
          <w:tcPr>
            <w:tcW w:w="60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GPA</w:t>
            </w:r>
          </w:p>
        </w:tc>
        <w:tc>
          <w:tcPr>
            <w:tcW w:w="767"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Accu-placer Arith</w:t>
            </w:r>
          </w:p>
        </w:tc>
        <w:tc>
          <w:tcPr>
            <w:tcW w:w="905"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Accu- placer Algebra</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189</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FQ</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48</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43</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190</w:t>
            </w: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86.5</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B+</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109</w:t>
            </w: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73.1</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89.2</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91.5</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47.2</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78.9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3.08</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66</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191</w:t>
            </w:r>
          </w:p>
        </w:tc>
        <w:tc>
          <w:tcPr>
            <w:tcW w:w="854"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W</w:t>
            </w: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r w:rsidRPr="004B2AD9">
              <w:rPr>
                <w:rFonts w:ascii="Calibri" w:hAnsi="Calibri" w:cs="Calibri"/>
                <w:color w:val="000000"/>
                <w:sz w:val="22"/>
                <w:szCs w:val="22"/>
              </w:rPr>
              <w:t>Math 101S</w:t>
            </w:r>
          </w:p>
        </w:tc>
        <w:tc>
          <w:tcPr>
            <w:tcW w:w="76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22"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0.67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20</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37</w:t>
            </w:r>
          </w:p>
        </w:tc>
      </w:tr>
      <w:tr w:rsidR="004B2AD9" w:rsidRPr="004B2AD9" w:rsidTr="004B2AD9">
        <w:trPr>
          <w:trHeight w:val="300"/>
        </w:trPr>
        <w:tc>
          <w:tcPr>
            <w:tcW w:w="551"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854"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80.3</w:t>
            </w:r>
          </w:p>
        </w:tc>
        <w:tc>
          <w:tcPr>
            <w:tcW w:w="82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186"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1600" w:type="dxa"/>
            <w:shd w:val="clear" w:color="auto" w:fill="auto"/>
            <w:noWrap/>
            <w:vAlign w:val="bottom"/>
            <w:hideMark/>
          </w:tcPr>
          <w:p w:rsidR="004B2AD9" w:rsidRPr="004B2AD9" w:rsidRDefault="004B2AD9" w:rsidP="004B2AD9">
            <w:pPr>
              <w:rPr>
                <w:rFonts w:ascii="Calibri" w:hAnsi="Calibri" w:cs="Calibri"/>
                <w:color w:val="000000"/>
                <w:sz w:val="22"/>
                <w:szCs w:val="22"/>
              </w:rPr>
            </w:pPr>
          </w:p>
        </w:tc>
        <w:tc>
          <w:tcPr>
            <w:tcW w:w="76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77.7</w:t>
            </w:r>
          </w:p>
        </w:tc>
        <w:tc>
          <w:tcPr>
            <w:tcW w:w="800"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79.7</w:t>
            </w:r>
          </w:p>
        </w:tc>
        <w:tc>
          <w:tcPr>
            <w:tcW w:w="822"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91.8</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36.1</w:t>
            </w:r>
          </w:p>
        </w:tc>
        <w:tc>
          <w:tcPr>
            <w:tcW w:w="1146"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69</w:t>
            </w:r>
          </w:p>
        </w:tc>
        <w:tc>
          <w:tcPr>
            <w:tcW w:w="60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1.7</w:t>
            </w:r>
          </w:p>
        </w:tc>
        <w:tc>
          <w:tcPr>
            <w:tcW w:w="767"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35.2</w:t>
            </w:r>
          </w:p>
        </w:tc>
        <w:tc>
          <w:tcPr>
            <w:tcW w:w="905" w:type="dxa"/>
            <w:shd w:val="clear" w:color="auto" w:fill="auto"/>
            <w:noWrap/>
            <w:vAlign w:val="bottom"/>
            <w:hideMark/>
          </w:tcPr>
          <w:p w:rsidR="004B2AD9" w:rsidRPr="004B2AD9" w:rsidRDefault="004B2AD9" w:rsidP="004B2AD9">
            <w:pPr>
              <w:jc w:val="right"/>
              <w:rPr>
                <w:rFonts w:ascii="Calibri" w:hAnsi="Calibri" w:cs="Calibri"/>
                <w:color w:val="000000"/>
                <w:sz w:val="22"/>
                <w:szCs w:val="22"/>
              </w:rPr>
            </w:pPr>
            <w:r w:rsidRPr="004B2AD9">
              <w:rPr>
                <w:rFonts w:ascii="Calibri" w:hAnsi="Calibri" w:cs="Calibri"/>
                <w:color w:val="000000"/>
                <w:sz w:val="22"/>
                <w:szCs w:val="22"/>
              </w:rPr>
              <w:t>33.5</w:t>
            </w:r>
          </w:p>
        </w:tc>
      </w:tr>
    </w:tbl>
    <w:p w:rsidR="005F6486" w:rsidRDefault="005F6486" w:rsidP="00012A72">
      <w:pPr>
        <w:rPr>
          <w:lang w:val="fr-FR"/>
        </w:rPr>
      </w:pPr>
    </w:p>
    <w:p w:rsidR="005F6486" w:rsidRDefault="005F6486" w:rsidP="00012A72">
      <w:pPr>
        <w:rPr>
          <w:lang w:val="fr-FR"/>
        </w:rPr>
      </w:pPr>
    </w:p>
    <w:p w:rsidR="005F6486" w:rsidRDefault="005F6486" w:rsidP="00012A72">
      <w:pPr>
        <w:rPr>
          <w:lang w:val="fr-FR"/>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4B2AD9" w:rsidRDefault="004B2AD9" w:rsidP="005F6486">
      <w:pPr>
        <w:jc w:val="center"/>
        <w:rPr>
          <w:b/>
        </w:rPr>
      </w:pPr>
    </w:p>
    <w:p w:rsidR="005F6486" w:rsidRDefault="005F6486" w:rsidP="005F6486">
      <w:pPr>
        <w:jc w:val="center"/>
        <w:rPr>
          <w:b/>
        </w:rPr>
      </w:pPr>
      <w:r>
        <w:rPr>
          <w:b/>
        </w:rPr>
        <w:lastRenderedPageBreak/>
        <w:t>Math 102 Intermediate</w:t>
      </w:r>
      <w:r w:rsidRPr="00D960F8">
        <w:rPr>
          <w:b/>
        </w:rPr>
        <w:t xml:space="preserve"> Algebra</w:t>
      </w:r>
      <w:r>
        <w:rPr>
          <w:b/>
        </w:rPr>
        <w:t xml:space="preserve"> </w:t>
      </w:r>
    </w:p>
    <w:p w:rsidR="005F6486" w:rsidRDefault="005F6486" w:rsidP="005F6486">
      <w:pPr>
        <w:jc w:val="center"/>
        <w:rPr>
          <w:b/>
        </w:rPr>
      </w:pPr>
    </w:p>
    <w:p w:rsidR="005F6486" w:rsidRPr="00D960F8" w:rsidRDefault="005F6486" w:rsidP="005F6486">
      <w:pPr>
        <w:rPr>
          <w:b/>
        </w:rPr>
      </w:pPr>
    </w:p>
    <w:tbl>
      <w:tblPr>
        <w:tblW w:w="11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60"/>
        <w:gridCol w:w="960"/>
        <w:gridCol w:w="1196"/>
        <w:gridCol w:w="800"/>
        <w:gridCol w:w="880"/>
        <w:gridCol w:w="822"/>
        <w:gridCol w:w="762"/>
        <w:gridCol w:w="1146"/>
        <w:gridCol w:w="1146"/>
        <w:gridCol w:w="767"/>
        <w:gridCol w:w="905"/>
      </w:tblGrid>
      <w:tr w:rsidR="001D1E63" w:rsidRPr="001D1E63" w:rsidTr="001D1E63">
        <w:trPr>
          <w:trHeight w:val="900"/>
        </w:trPr>
        <w:tc>
          <w:tcPr>
            <w:tcW w:w="11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60"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Overall Final Grade</w:t>
            </w:r>
          </w:p>
        </w:tc>
        <w:tc>
          <w:tcPr>
            <w:tcW w:w="960"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Final Letter Grade</w:t>
            </w:r>
          </w:p>
        </w:tc>
        <w:tc>
          <w:tcPr>
            <w:tcW w:w="1196"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Comments</w:t>
            </w:r>
          </w:p>
        </w:tc>
        <w:tc>
          <w:tcPr>
            <w:tcW w:w="800"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Final Exam Grade</w:t>
            </w:r>
          </w:p>
        </w:tc>
        <w:tc>
          <w:tcPr>
            <w:tcW w:w="880"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Grade Prior to Final</w:t>
            </w:r>
          </w:p>
        </w:tc>
        <w:tc>
          <w:tcPr>
            <w:tcW w:w="822"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Home- work Grade</w:t>
            </w:r>
          </w:p>
        </w:tc>
        <w:tc>
          <w:tcPr>
            <w:tcW w:w="762"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Quiz Grade</w:t>
            </w:r>
          </w:p>
        </w:tc>
        <w:tc>
          <w:tcPr>
            <w:tcW w:w="1146" w:type="dxa"/>
            <w:shd w:val="clear" w:color="auto" w:fill="auto"/>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Diagnostic Pre-Test</w:t>
            </w:r>
          </w:p>
        </w:tc>
        <w:tc>
          <w:tcPr>
            <w:tcW w:w="1146" w:type="dxa"/>
            <w:shd w:val="clear" w:color="auto" w:fill="auto"/>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Diagnostic Post-Test</w:t>
            </w:r>
          </w:p>
        </w:tc>
        <w:tc>
          <w:tcPr>
            <w:tcW w:w="767"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Accu-placer Arith</w:t>
            </w:r>
          </w:p>
        </w:tc>
        <w:tc>
          <w:tcPr>
            <w:tcW w:w="905" w:type="dxa"/>
            <w:shd w:val="clear" w:color="auto" w:fill="auto"/>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Accu- placer Algebra</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76.4</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C</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Accuplacer</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65.6</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77.3</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98.9</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92.4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33.2</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57.6</w:t>
            </w: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62</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65</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79.5</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75.6</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79.4</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92.4</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83.6</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81.9</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w:t>
            </w:r>
          </w:p>
        </w:tc>
        <w:tc>
          <w:tcPr>
            <w:tcW w:w="11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FC</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2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87.9</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Accuplacer</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75.6</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91.7</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98.3</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87.2</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31.8</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57.2</w:t>
            </w: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23</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61</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59.6</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F</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46.7</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60</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87.4</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86.7</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17.1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60.5</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75.8</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C</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60</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79.6</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93.7</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83.5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10.7</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39.5</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67.6</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D+</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63.3</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66</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99.8</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61.2</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38.2</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64.5</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86.5</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Accuplacer</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81.1</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87.5</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98.1</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82.5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22.5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68.5</w:t>
            </w: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48</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63</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78.1</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C+</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72.2</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78.1</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93.3</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87.6</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36.8</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70.3</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82.9</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76.7</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85.3</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90.2</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67.8</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18.2</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32.2</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11</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92</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Accuplacer</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85.6</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93.4</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100</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96.1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36.1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81.9</w:t>
            </w: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94</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55</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12</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78.6</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C+</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67.8</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81.3</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93.9</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76.4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28.6</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47.8</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13</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98.7</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 xml:space="preserve">A </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109/110</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97.8</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99.3</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98.4</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93.4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31.4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69.2</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14</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74.6</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C</w:t>
            </w:r>
          </w:p>
        </w:tc>
        <w:tc>
          <w:tcPr>
            <w:tcW w:w="119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109</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67.8</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74.3</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97.4</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81.7</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20.4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83.3</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15</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93.1</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85.6</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95.3</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99.4</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94.5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21.8</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52.9</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16</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84.4</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109/110</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68.9</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88.7</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99.8</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86.5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24.4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64.9</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17</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68.5</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D+</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64.4</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69.7</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82.4</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47.9</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31.4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36.2</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18</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59</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F</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44.4</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61.7</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79.1</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72.5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41.1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64.9</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19</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79.7</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90</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76.1</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86.3</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59.1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17.1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42.8</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20</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56.6</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F</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34.4</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63.2</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90.5</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26.5</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19.6</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26.8</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21</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109/110</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100</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96.8</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100</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94.1</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43.6</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86.7</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22</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85.8</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B</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76.7</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87.5</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98.3</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80.9</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17.9</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47.8</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4B2AD9">
            <w:pPr>
              <w:rPr>
                <w:rFonts w:ascii="Calibri" w:hAnsi="Calibri" w:cs="Calibri"/>
                <w:color w:val="000000"/>
                <w:sz w:val="22"/>
                <w:szCs w:val="22"/>
              </w:rPr>
            </w:pPr>
          </w:p>
        </w:tc>
        <w:tc>
          <w:tcPr>
            <w:tcW w:w="1160"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Overall Final Grade</w:t>
            </w:r>
          </w:p>
        </w:tc>
        <w:tc>
          <w:tcPr>
            <w:tcW w:w="960"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Final Letter Grade</w:t>
            </w:r>
          </w:p>
        </w:tc>
        <w:tc>
          <w:tcPr>
            <w:tcW w:w="1196"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Comments</w:t>
            </w:r>
          </w:p>
        </w:tc>
        <w:tc>
          <w:tcPr>
            <w:tcW w:w="800"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Final Exam Grade</w:t>
            </w:r>
          </w:p>
        </w:tc>
        <w:tc>
          <w:tcPr>
            <w:tcW w:w="880"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Grade Prior to Final</w:t>
            </w:r>
          </w:p>
        </w:tc>
        <w:tc>
          <w:tcPr>
            <w:tcW w:w="822"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Home- work Grade</w:t>
            </w:r>
          </w:p>
        </w:tc>
        <w:tc>
          <w:tcPr>
            <w:tcW w:w="762"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Quiz Grade</w:t>
            </w:r>
          </w:p>
        </w:tc>
        <w:tc>
          <w:tcPr>
            <w:tcW w:w="1146" w:type="dxa"/>
            <w:shd w:val="clear" w:color="auto" w:fill="auto"/>
            <w:noWrap/>
            <w:vAlign w:val="bottom"/>
            <w:hideMark/>
          </w:tcPr>
          <w:p w:rsidR="001D1E63" w:rsidRPr="001D1E63" w:rsidRDefault="001D1E63" w:rsidP="004B2AD9">
            <w:pPr>
              <w:jc w:val="right"/>
              <w:rPr>
                <w:rFonts w:ascii="Calibri" w:hAnsi="Calibri" w:cs="Calibri"/>
                <w:color w:val="000000"/>
                <w:sz w:val="22"/>
                <w:szCs w:val="22"/>
              </w:rPr>
            </w:pPr>
            <w:r w:rsidRPr="001D1E63">
              <w:rPr>
                <w:rFonts w:ascii="Calibri" w:hAnsi="Calibri" w:cs="Calibri"/>
                <w:color w:val="000000"/>
                <w:sz w:val="22"/>
                <w:szCs w:val="22"/>
              </w:rPr>
              <w:t>Diagnostic Pre-Test</w:t>
            </w:r>
          </w:p>
        </w:tc>
        <w:tc>
          <w:tcPr>
            <w:tcW w:w="1146" w:type="dxa"/>
            <w:shd w:val="clear" w:color="auto" w:fill="auto"/>
            <w:noWrap/>
            <w:vAlign w:val="bottom"/>
            <w:hideMark/>
          </w:tcPr>
          <w:p w:rsidR="001D1E63" w:rsidRPr="001D1E63" w:rsidRDefault="001D1E63" w:rsidP="004B2AD9">
            <w:pPr>
              <w:jc w:val="right"/>
              <w:rPr>
                <w:rFonts w:ascii="Calibri" w:hAnsi="Calibri" w:cs="Calibri"/>
                <w:color w:val="000000"/>
                <w:sz w:val="22"/>
                <w:szCs w:val="22"/>
              </w:rPr>
            </w:pPr>
            <w:r w:rsidRPr="001D1E63">
              <w:rPr>
                <w:rFonts w:ascii="Calibri" w:hAnsi="Calibri" w:cs="Calibri"/>
                <w:color w:val="000000"/>
                <w:sz w:val="22"/>
                <w:szCs w:val="22"/>
              </w:rPr>
              <w:t>Diagnostic Post-Test</w:t>
            </w:r>
          </w:p>
        </w:tc>
        <w:tc>
          <w:tcPr>
            <w:tcW w:w="767"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Accu-placer Arith</w:t>
            </w:r>
          </w:p>
        </w:tc>
        <w:tc>
          <w:tcPr>
            <w:tcW w:w="905" w:type="dxa"/>
            <w:shd w:val="clear" w:color="auto" w:fill="auto"/>
            <w:noWrap/>
            <w:vAlign w:val="bottom"/>
            <w:hideMark/>
          </w:tcPr>
          <w:p w:rsidR="001D1E63" w:rsidRPr="001D1E63" w:rsidRDefault="001D1E63" w:rsidP="004B2AD9">
            <w:pPr>
              <w:rPr>
                <w:rFonts w:ascii="Calibri" w:hAnsi="Calibri" w:cs="Calibri"/>
                <w:color w:val="000000"/>
                <w:sz w:val="22"/>
                <w:szCs w:val="22"/>
              </w:rPr>
            </w:pPr>
            <w:r w:rsidRPr="001D1E63">
              <w:rPr>
                <w:rFonts w:ascii="Calibri" w:hAnsi="Calibri" w:cs="Calibri"/>
                <w:color w:val="000000"/>
                <w:sz w:val="22"/>
                <w:szCs w:val="22"/>
              </w:rPr>
              <w:t>Accu- placer Algebra</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23</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95.3</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A</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Placed</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100</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91.6</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100</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94.9</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44.3</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65.2</w:t>
            </w: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48</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51</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24</w:t>
            </w: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67.2</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D+</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Placed</w:t>
            </w: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61.1</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65.8</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90.8</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88.3</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13.2</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35.9</w:t>
            </w: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45</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65</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25</w:t>
            </w:r>
          </w:p>
        </w:tc>
        <w:tc>
          <w:tcPr>
            <w:tcW w:w="11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W</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Placed</w:t>
            </w:r>
          </w:p>
        </w:tc>
        <w:tc>
          <w:tcPr>
            <w:tcW w:w="80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2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7"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49</w:t>
            </w:r>
          </w:p>
        </w:tc>
        <w:tc>
          <w:tcPr>
            <w:tcW w:w="905"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57</w:t>
            </w: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26</w:t>
            </w:r>
          </w:p>
        </w:tc>
        <w:tc>
          <w:tcPr>
            <w:tcW w:w="11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W</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2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27</w:t>
            </w:r>
          </w:p>
        </w:tc>
        <w:tc>
          <w:tcPr>
            <w:tcW w:w="11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W</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Repeat</w:t>
            </w:r>
          </w:p>
        </w:tc>
        <w:tc>
          <w:tcPr>
            <w:tcW w:w="80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2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28</w:t>
            </w:r>
          </w:p>
        </w:tc>
        <w:tc>
          <w:tcPr>
            <w:tcW w:w="11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W</w:t>
            </w: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r w:rsidRPr="001D1E63">
              <w:rPr>
                <w:rFonts w:ascii="Calibri" w:hAnsi="Calibri" w:cs="Calibri"/>
                <w:color w:val="000000"/>
                <w:sz w:val="22"/>
                <w:szCs w:val="22"/>
              </w:rPr>
              <w:t>Math 101S</w:t>
            </w:r>
          </w:p>
        </w:tc>
        <w:tc>
          <w:tcPr>
            <w:tcW w:w="80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2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6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79.4</w:t>
            </w: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0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72.2</w:t>
            </w:r>
          </w:p>
        </w:tc>
        <w:tc>
          <w:tcPr>
            <w:tcW w:w="880"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80.4</w:t>
            </w:r>
          </w:p>
        </w:tc>
        <w:tc>
          <w:tcPr>
            <w:tcW w:w="82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94.3</w:t>
            </w:r>
          </w:p>
        </w:tc>
        <w:tc>
          <w:tcPr>
            <w:tcW w:w="762"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79.4</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27.6</w:t>
            </w:r>
          </w:p>
        </w:tc>
        <w:tc>
          <w:tcPr>
            <w:tcW w:w="1146" w:type="dxa"/>
            <w:shd w:val="clear" w:color="auto" w:fill="auto"/>
            <w:noWrap/>
            <w:vAlign w:val="bottom"/>
            <w:hideMark/>
          </w:tcPr>
          <w:p w:rsidR="001D1E63" w:rsidRPr="001D1E63" w:rsidRDefault="001D1E63" w:rsidP="001D1E63">
            <w:pPr>
              <w:jc w:val="right"/>
              <w:rPr>
                <w:rFonts w:ascii="Calibri" w:hAnsi="Calibri" w:cs="Calibri"/>
                <w:color w:val="000000"/>
                <w:sz w:val="22"/>
                <w:szCs w:val="22"/>
              </w:rPr>
            </w:pPr>
            <w:r w:rsidRPr="001D1E63">
              <w:rPr>
                <w:rFonts w:ascii="Calibri" w:hAnsi="Calibri" w:cs="Calibri"/>
                <w:color w:val="000000"/>
                <w:sz w:val="22"/>
                <w:szCs w:val="22"/>
              </w:rPr>
              <w:t>58.2</w:t>
            </w: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r w:rsidR="001D1E63" w:rsidRPr="001D1E63" w:rsidTr="001D1E63">
        <w:trPr>
          <w:trHeight w:val="300"/>
        </w:trPr>
        <w:tc>
          <w:tcPr>
            <w:tcW w:w="11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6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9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0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80"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82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2"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1146"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767" w:type="dxa"/>
            <w:shd w:val="clear" w:color="auto" w:fill="auto"/>
            <w:noWrap/>
            <w:vAlign w:val="bottom"/>
            <w:hideMark/>
          </w:tcPr>
          <w:p w:rsidR="001D1E63" w:rsidRPr="001D1E63" w:rsidRDefault="001D1E63" w:rsidP="001D1E63">
            <w:pPr>
              <w:rPr>
                <w:rFonts w:ascii="Calibri" w:hAnsi="Calibri" w:cs="Calibri"/>
                <w:color w:val="000000"/>
                <w:sz w:val="22"/>
                <w:szCs w:val="22"/>
              </w:rPr>
            </w:pPr>
          </w:p>
        </w:tc>
        <w:tc>
          <w:tcPr>
            <w:tcW w:w="905" w:type="dxa"/>
            <w:shd w:val="clear" w:color="auto" w:fill="auto"/>
            <w:noWrap/>
            <w:vAlign w:val="bottom"/>
            <w:hideMark/>
          </w:tcPr>
          <w:p w:rsidR="001D1E63" w:rsidRPr="001D1E63" w:rsidRDefault="001D1E63" w:rsidP="001D1E63">
            <w:pPr>
              <w:rPr>
                <w:rFonts w:ascii="Calibri" w:hAnsi="Calibri" w:cs="Calibri"/>
                <w:color w:val="000000"/>
                <w:sz w:val="22"/>
                <w:szCs w:val="22"/>
              </w:rPr>
            </w:pPr>
          </w:p>
        </w:tc>
      </w:tr>
    </w:tbl>
    <w:p w:rsidR="005F6486" w:rsidRPr="005F6486" w:rsidRDefault="005F6486" w:rsidP="00867DE9"/>
    <w:sectPr w:rsidR="005F6486" w:rsidRPr="005F6486" w:rsidSect="004B2AD9">
      <w:footerReference w:type="default" r:id="rId41"/>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D9" w:rsidRDefault="004B2AD9">
      <w:r>
        <w:separator/>
      </w:r>
    </w:p>
  </w:endnote>
  <w:endnote w:type="continuationSeparator" w:id="0">
    <w:p w:rsidR="004B2AD9" w:rsidRDefault="004B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IBFGC+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9" w:rsidRDefault="00F05007" w:rsidP="00B90F5D">
    <w:pPr>
      <w:pStyle w:val="Footer"/>
      <w:framePr w:wrap="around" w:vAnchor="text" w:hAnchor="margin" w:xAlign="center" w:y="1"/>
      <w:rPr>
        <w:rStyle w:val="PageNumber"/>
      </w:rPr>
    </w:pPr>
    <w:r>
      <w:rPr>
        <w:rStyle w:val="PageNumber"/>
      </w:rPr>
      <w:fldChar w:fldCharType="begin"/>
    </w:r>
    <w:r w:rsidR="004B2AD9">
      <w:rPr>
        <w:rStyle w:val="PageNumber"/>
      </w:rPr>
      <w:instrText xml:space="preserve">PAGE  </w:instrText>
    </w:r>
    <w:r>
      <w:rPr>
        <w:rStyle w:val="PageNumber"/>
      </w:rPr>
      <w:fldChar w:fldCharType="end"/>
    </w:r>
  </w:p>
  <w:p w:rsidR="004B2AD9" w:rsidRDefault="004B2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9" w:rsidRDefault="00F05007" w:rsidP="00B90F5D">
    <w:pPr>
      <w:pStyle w:val="Footer"/>
      <w:framePr w:wrap="around" w:vAnchor="text" w:hAnchor="margin" w:xAlign="center" w:y="1"/>
      <w:rPr>
        <w:rStyle w:val="PageNumber"/>
      </w:rPr>
    </w:pPr>
    <w:r>
      <w:rPr>
        <w:rStyle w:val="PageNumber"/>
      </w:rPr>
      <w:fldChar w:fldCharType="begin"/>
    </w:r>
    <w:r w:rsidR="004B2AD9">
      <w:rPr>
        <w:rStyle w:val="PageNumber"/>
      </w:rPr>
      <w:instrText xml:space="preserve">PAGE  </w:instrText>
    </w:r>
    <w:r>
      <w:rPr>
        <w:rStyle w:val="PageNumber"/>
      </w:rPr>
      <w:fldChar w:fldCharType="separate"/>
    </w:r>
    <w:r w:rsidR="008F71F6">
      <w:rPr>
        <w:rStyle w:val="PageNumber"/>
        <w:noProof/>
      </w:rPr>
      <w:t>21</w:t>
    </w:r>
    <w:r>
      <w:rPr>
        <w:rStyle w:val="PageNumber"/>
      </w:rPr>
      <w:fldChar w:fldCharType="end"/>
    </w:r>
  </w:p>
  <w:p w:rsidR="004B2AD9" w:rsidRDefault="004B2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5517"/>
      <w:docPartObj>
        <w:docPartGallery w:val="Page Numbers (Bottom of Page)"/>
        <w:docPartUnique/>
      </w:docPartObj>
    </w:sdtPr>
    <w:sdtEndPr/>
    <w:sdtContent>
      <w:p w:rsidR="004B2AD9" w:rsidRDefault="008F71F6">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4B2AD9" w:rsidRDefault="004B2AD9" w:rsidP="00D960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D9" w:rsidRDefault="004B2AD9">
      <w:r>
        <w:separator/>
      </w:r>
    </w:p>
  </w:footnote>
  <w:footnote w:type="continuationSeparator" w:id="0">
    <w:p w:rsidR="004B2AD9" w:rsidRDefault="004B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A22"/>
    <w:multiLevelType w:val="hybridMultilevel"/>
    <w:tmpl w:val="4628BA72"/>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1E8D"/>
    <w:multiLevelType w:val="hybridMultilevel"/>
    <w:tmpl w:val="D0B67EBC"/>
    <w:lvl w:ilvl="0" w:tplc="37E822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02894"/>
    <w:multiLevelType w:val="hybridMultilevel"/>
    <w:tmpl w:val="8632AEEC"/>
    <w:lvl w:ilvl="0" w:tplc="0E622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529C7"/>
    <w:multiLevelType w:val="hybridMultilevel"/>
    <w:tmpl w:val="C826E880"/>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31751"/>
    <w:multiLevelType w:val="hybridMultilevel"/>
    <w:tmpl w:val="743CACD4"/>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3FAB"/>
    <w:multiLevelType w:val="hybridMultilevel"/>
    <w:tmpl w:val="88F8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AF1837"/>
    <w:multiLevelType w:val="hybridMultilevel"/>
    <w:tmpl w:val="5764078A"/>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441CA"/>
    <w:multiLevelType w:val="hybridMultilevel"/>
    <w:tmpl w:val="31448EA4"/>
    <w:lvl w:ilvl="0" w:tplc="B5F288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85483A"/>
    <w:multiLevelType w:val="hybridMultilevel"/>
    <w:tmpl w:val="41CA7348"/>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D269E"/>
    <w:multiLevelType w:val="hybridMultilevel"/>
    <w:tmpl w:val="36B63FCE"/>
    <w:lvl w:ilvl="0" w:tplc="29D88A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693966"/>
    <w:multiLevelType w:val="hybridMultilevel"/>
    <w:tmpl w:val="61429606"/>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74AEB"/>
    <w:multiLevelType w:val="hybridMultilevel"/>
    <w:tmpl w:val="5D4ED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7D6746"/>
    <w:multiLevelType w:val="hybridMultilevel"/>
    <w:tmpl w:val="6602E34C"/>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00F63"/>
    <w:multiLevelType w:val="hybridMultilevel"/>
    <w:tmpl w:val="EEF23C12"/>
    <w:lvl w:ilvl="0" w:tplc="EB7C7C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5458D"/>
    <w:multiLevelType w:val="hybridMultilevel"/>
    <w:tmpl w:val="DCB2548C"/>
    <w:lvl w:ilvl="0" w:tplc="9BF2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11"/>
  </w:num>
  <w:num w:numId="6">
    <w:abstractNumId w:val="13"/>
  </w:num>
  <w:num w:numId="7">
    <w:abstractNumId w:val="14"/>
  </w:num>
  <w:num w:numId="8">
    <w:abstractNumId w:val="3"/>
  </w:num>
  <w:num w:numId="9">
    <w:abstractNumId w:val="6"/>
  </w:num>
  <w:num w:numId="10">
    <w:abstractNumId w:val="8"/>
  </w:num>
  <w:num w:numId="11">
    <w:abstractNumId w:val="10"/>
  </w:num>
  <w:num w:numId="12">
    <w:abstractNumId w:val="12"/>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AC"/>
    <w:rsid w:val="00012A72"/>
    <w:rsid w:val="00022932"/>
    <w:rsid w:val="000270E3"/>
    <w:rsid w:val="00031967"/>
    <w:rsid w:val="00033DF3"/>
    <w:rsid w:val="00047FEA"/>
    <w:rsid w:val="00065FB4"/>
    <w:rsid w:val="00082BA0"/>
    <w:rsid w:val="000847A5"/>
    <w:rsid w:val="00084EF6"/>
    <w:rsid w:val="00086715"/>
    <w:rsid w:val="000A7994"/>
    <w:rsid w:val="000B3859"/>
    <w:rsid w:val="000B43F6"/>
    <w:rsid w:val="000B5124"/>
    <w:rsid w:val="000B7585"/>
    <w:rsid w:val="000D28E2"/>
    <w:rsid w:val="000E0993"/>
    <w:rsid w:val="000F6FDD"/>
    <w:rsid w:val="00117A44"/>
    <w:rsid w:val="00124A93"/>
    <w:rsid w:val="001640E8"/>
    <w:rsid w:val="0017435F"/>
    <w:rsid w:val="001841D5"/>
    <w:rsid w:val="00184D98"/>
    <w:rsid w:val="00193F91"/>
    <w:rsid w:val="001A33B7"/>
    <w:rsid w:val="001A6110"/>
    <w:rsid w:val="001C2931"/>
    <w:rsid w:val="001C4702"/>
    <w:rsid w:val="001C6B45"/>
    <w:rsid w:val="001D0AD4"/>
    <w:rsid w:val="001D1E63"/>
    <w:rsid w:val="001D609B"/>
    <w:rsid w:val="001E3336"/>
    <w:rsid w:val="001F353F"/>
    <w:rsid w:val="001F5BC6"/>
    <w:rsid w:val="002005A5"/>
    <w:rsid w:val="00207253"/>
    <w:rsid w:val="00214C96"/>
    <w:rsid w:val="002177D1"/>
    <w:rsid w:val="002209DD"/>
    <w:rsid w:val="00230D8E"/>
    <w:rsid w:val="0023234D"/>
    <w:rsid w:val="002344C7"/>
    <w:rsid w:val="00241BED"/>
    <w:rsid w:val="00246A38"/>
    <w:rsid w:val="002477A3"/>
    <w:rsid w:val="00253B7D"/>
    <w:rsid w:val="002577F3"/>
    <w:rsid w:val="00265113"/>
    <w:rsid w:val="00265593"/>
    <w:rsid w:val="002675BB"/>
    <w:rsid w:val="0027560A"/>
    <w:rsid w:val="00275F11"/>
    <w:rsid w:val="00283138"/>
    <w:rsid w:val="0028632F"/>
    <w:rsid w:val="002943A4"/>
    <w:rsid w:val="002A56CF"/>
    <w:rsid w:val="002B05DD"/>
    <w:rsid w:val="002B56BA"/>
    <w:rsid w:val="002C3BC3"/>
    <w:rsid w:val="002D67D2"/>
    <w:rsid w:val="002E36C7"/>
    <w:rsid w:val="002F4154"/>
    <w:rsid w:val="00300B58"/>
    <w:rsid w:val="00301719"/>
    <w:rsid w:val="0030251E"/>
    <w:rsid w:val="003029D1"/>
    <w:rsid w:val="00306F89"/>
    <w:rsid w:val="00314235"/>
    <w:rsid w:val="0032015C"/>
    <w:rsid w:val="003224CA"/>
    <w:rsid w:val="00331205"/>
    <w:rsid w:val="00340AB5"/>
    <w:rsid w:val="003454F2"/>
    <w:rsid w:val="00351716"/>
    <w:rsid w:val="00376BD8"/>
    <w:rsid w:val="00386504"/>
    <w:rsid w:val="003A032F"/>
    <w:rsid w:val="003A1F1E"/>
    <w:rsid w:val="003A3BCE"/>
    <w:rsid w:val="003C79E3"/>
    <w:rsid w:val="003C7C0F"/>
    <w:rsid w:val="003D609E"/>
    <w:rsid w:val="003E195E"/>
    <w:rsid w:val="003E2549"/>
    <w:rsid w:val="004000BC"/>
    <w:rsid w:val="00403696"/>
    <w:rsid w:val="00405DBE"/>
    <w:rsid w:val="00417D0F"/>
    <w:rsid w:val="00442797"/>
    <w:rsid w:val="00442C8A"/>
    <w:rsid w:val="00444639"/>
    <w:rsid w:val="004450C5"/>
    <w:rsid w:val="004467E6"/>
    <w:rsid w:val="00456261"/>
    <w:rsid w:val="004671BE"/>
    <w:rsid w:val="00474EC6"/>
    <w:rsid w:val="00484519"/>
    <w:rsid w:val="00491785"/>
    <w:rsid w:val="00495E5A"/>
    <w:rsid w:val="0049677E"/>
    <w:rsid w:val="004A1DD7"/>
    <w:rsid w:val="004A6302"/>
    <w:rsid w:val="004A715D"/>
    <w:rsid w:val="004B2AD9"/>
    <w:rsid w:val="004B6955"/>
    <w:rsid w:val="004D6C3A"/>
    <w:rsid w:val="004D7FCB"/>
    <w:rsid w:val="004F033B"/>
    <w:rsid w:val="004F133C"/>
    <w:rsid w:val="00511831"/>
    <w:rsid w:val="00514213"/>
    <w:rsid w:val="005161FE"/>
    <w:rsid w:val="00523F36"/>
    <w:rsid w:val="005274DE"/>
    <w:rsid w:val="005315FB"/>
    <w:rsid w:val="00531D0F"/>
    <w:rsid w:val="00540CC9"/>
    <w:rsid w:val="0056622F"/>
    <w:rsid w:val="0056638F"/>
    <w:rsid w:val="00574AE3"/>
    <w:rsid w:val="0057781D"/>
    <w:rsid w:val="00584017"/>
    <w:rsid w:val="00586075"/>
    <w:rsid w:val="00586682"/>
    <w:rsid w:val="00590798"/>
    <w:rsid w:val="005B1FF5"/>
    <w:rsid w:val="005B2985"/>
    <w:rsid w:val="005B6869"/>
    <w:rsid w:val="005D7573"/>
    <w:rsid w:val="005E32FB"/>
    <w:rsid w:val="005E4775"/>
    <w:rsid w:val="005F090A"/>
    <w:rsid w:val="005F6486"/>
    <w:rsid w:val="005F6967"/>
    <w:rsid w:val="006007F4"/>
    <w:rsid w:val="00606C85"/>
    <w:rsid w:val="0063105C"/>
    <w:rsid w:val="00634459"/>
    <w:rsid w:val="006365D6"/>
    <w:rsid w:val="00640BA8"/>
    <w:rsid w:val="0064581B"/>
    <w:rsid w:val="00661F0B"/>
    <w:rsid w:val="00667788"/>
    <w:rsid w:val="00693E57"/>
    <w:rsid w:val="006C0BD5"/>
    <w:rsid w:val="006C292F"/>
    <w:rsid w:val="006C4FC7"/>
    <w:rsid w:val="006D58C1"/>
    <w:rsid w:val="006E20CA"/>
    <w:rsid w:val="006E75CC"/>
    <w:rsid w:val="006F0D53"/>
    <w:rsid w:val="006F2E81"/>
    <w:rsid w:val="00703E41"/>
    <w:rsid w:val="007163A9"/>
    <w:rsid w:val="00717B80"/>
    <w:rsid w:val="0073497C"/>
    <w:rsid w:val="0073673E"/>
    <w:rsid w:val="00746CEF"/>
    <w:rsid w:val="00746E57"/>
    <w:rsid w:val="00754FB3"/>
    <w:rsid w:val="00755FBF"/>
    <w:rsid w:val="007570C6"/>
    <w:rsid w:val="00773908"/>
    <w:rsid w:val="00775A6C"/>
    <w:rsid w:val="00776A18"/>
    <w:rsid w:val="00784168"/>
    <w:rsid w:val="00791BB8"/>
    <w:rsid w:val="007A4BA4"/>
    <w:rsid w:val="007A5709"/>
    <w:rsid w:val="007A71FD"/>
    <w:rsid w:val="007B205A"/>
    <w:rsid w:val="007C4C48"/>
    <w:rsid w:val="007C4DC5"/>
    <w:rsid w:val="007D3F7F"/>
    <w:rsid w:val="0082514B"/>
    <w:rsid w:val="00833B8D"/>
    <w:rsid w:val="008374A9"/>
    <w:rsid w:val="008436B5"/>
    <w:rsid w:val="008509BC"/>
    <w:rsid w:val="00854374"/>
    <w:rsid w:val="00856F59"/>
    <w:rsid w:val="00867DE9"/>
    <w:rsid w:val="008762AD"/>
    <w:rsid w:val="00881125"/>
    <w:rsid w:val="008904D1"/>
    <w:rsid w:val="008940B7"/>
    <w:rsid w:val="008B0BF1"/>
    <w:rsid w:val="008B39D4"/>
    <w:rsid w:val="008C118D"/>
    <w:rsid w:val="008C204A"/>
    <w:rsid w:val="008D4651"/>
    <w:rsid w:val="008D51D7"/>
    <w:rsid w:val="008D5FFA"/>
    <w:rsid w:val="008E52BE"/>
    <w:rsid w:val="008E7C56"/>
    <w:rsid w:val="008F71F6"/>
    <w:rsid w:val="008F7393"/>
    <w:rsid w:val="00903672"/>
    <w:rsid w:val="00904E12"/>
    <w:rsid w:val="00910E48"/>
    <w:rsid w:val="00914484"/>
    <w:rsid w:val="00933E0E"/>
    <w:rsid w:val="009366BC"/>
    <w:rsid w:val="009538A4"/>
    <w:rsid w:val="00953A46"/>
    <w:rsid w:val="00955D67"/>
    <w:rsid w:val="0095619C"/>
    <w:rsid w:val="00967EFB"/>
    <w:rsid w:val="00975EB3"/>
    <w:rsid w:val="00984E4D"/>
    <w:rsid w:val="009A665F"/>
    <w:rsid w:val="009A6863"/>
    <w:rsid w:val="009A6CE9"/>
    <w:rsid w:val="009B0804"/>
    <w:rsid w:val="009B4646"/>
    <w:rsid w:val="009C32D3"/>
    <w:rsid w:val="009E10EA"/>
    <w:rsid w:val="009E4FB3"/>
    <w:rsid w:val="009F5056"/>
    <w:rsid w:val="00A160DA"/>
    <w:rsid w:val="00A35CA6"/>
    <w:rsid w:val="00A4215B"/>
    <w:rsid w:val="00A438DB"/>
    <w:rsid w:val="00A511BC"/>
    <w:rsid w:val="00A83FB9"/>
    <w:rsid w:val="00A84736"/>
    <w:rsid w:val="00A90D52"/>
    <w:rsid w:val="00A97D10"/>
    <w:rsid w:val="00AA06E1"/>
    <w:rsid w:val="00AA2FAC"/>
    <w:rsid w:val="00AB0A45"/>
    <w:rsid w:val="00AB3E29"/>
    <w:rsid w:val="00AB76A5"/>
    <w:rsid w:val="00AC2634"/>
    <w:rsid w:val="00AD5663"/>
    <w:rsid w:val="00AD71EA"/>
    <w:rsid w:val="00AE50B1"/>
    <w:rsid w:val="00AF00F9"/>
    <w:rsid w:val="00AF6040"/>
    <w:rsid w:val="00B031E4"/>
    <w:rsid w:val="00B0335B"/>
    <w:rsid w:val="00B04464"/>
    <w:rsid w:val="00B04633"/>
    <w:rsid w:val="00B05A42"/>
    <w:rsid w:val="00B10B34"/>
    <w:rsid w:val="00B123BC"/>
    <w:rsid w:val="00B31821"/>
    <w:rsid w:val="00B33102"/>
    <w:rsid w:val="00B43C3D"/>
    <w:rsid w:val="00B524EB"/>
    <w:rsid w:val="00B5431D"/>
    <w:rsid w:val="00B6396D"/>
    <w:rsid w:val="00B7529E"/>
    <w:rsid w:val="00B86202"/>
    <w:rsid w:val="00B90F5D"/>
    <w:rsid w:val="00B91EFC"/>
    <w:rsid w:val="00B93B76"/>
    <w:rsid w:val="00BA5EEB"/>
    <w:rsid w:val="00BB6AE1"/>
    <w:rsid w:val="00BC00E4"/>
    <w:rsid w:val="00C00753"/>
    <w:rsid w:val="00C20C27"/>
    <w:rsid w:val="00C2599D"/>
    <w:rsid w:val="00C34CD4"/>
    <w:rsid w:val="00C36FD8"/>
    <w:rsid w:val="00C57572"/>
    <w:rsid w:val="00C709A6"/>
    <w:rsid w:val="00C74B5E"/>
    <w:rsid w:val="00C75BA6"/>
    <w:rsid w:val="00C8288A"/>
    <w:rsid w:val="00C84ACA"/>
    <w:rsid w:val="00C9383F"/>
    <w:rsid w:val="00CA18D8"/>
    <w:rsid w:val="00CA6976"/>
    <w:rsid w:val="00CB3CD5"/>
    <w:rsid w:val="00CB6CA4"/>
    <w:rsid w:val="00CC27D9"/>
    <w:rsid w:val="00CD1DED"/>
    <w:rsid w:val="00CF1450"/>
    <w:rsid w:val="00CF3C58"/>
    <w:rsid w:val="00D0106F"/>
    <w:rsid w:val="00D01600"/>
    <w:rsid w:val="00D14B20"/>
    <w:rsid w:val="00D2314C"/>
    <w:rsid w:val="00D2531B"/>
    <w:rsid w:val="00D25E6B"/>
    <w:rsid w:val="00D336BE"/>
    <w:rsid w:val="00D36258"/>
    <w:rsid w:val="00D37D4F"/>
    <w:rsid w:val="00D471C8"/>
    <w:rsid w:val="00D6393A"/>
    <w:rsid w:val="00D652AD"/>
    <w:rsid w:val="00D65D9D"/>
    <w:rsid w:val="00D71F21"/>
    <w:rsid w:val="00D8172D"/>
    <w:rsid w:val="00D960F8"/>
    <w:rsid w:val="00DA2E34"/>
    <w:rsid w:val="00DC6C56"/>
    <w:rsid w:val="00DC7F8B"/>
    <w:rsid w:val="00DD2AB4"/>
    <w:rsid w:val="00DE453F"/>
    <w:rsid w:val="00E014FD"/>
    <w:rsid w:val="00E123EF"/>
    <w:rsid w:val="00E35CCC"/>
    <w:rsid w:val="00E40837"/>
    <w:rsid w:val="00E40C6F"/>
    <w:rsid w:val="00E45983"/>
    <w:rsid w:val="00E55C85"/>
    <w:rsid w:val="00E60038"/>
    <w:rsid w:val="00E610A1"/>
    <w:rsid w:val="00E6746E"/>
    <w:rsid w:val="00E677B8"/>
    <w:rsid w:val="00E70C10"/>
    <w:rsid w:val="00E724E5"/>
    <w:rsid w:val="00E77BFC"/>
    <w:rsid w:val="00EA23A2"/>
    <w:rsid w:val="00EA2AC9"/>
    <w:rsid w:val="00EA3FBC"/>
    <w:rsid w:val="00EA7FAD"/>
    <w:rsid w:val="00EB00AD"/>
    <w:rsid w:val="00EB2CA4"/>
    <w:rsid w:val="00EC0044"/>
    <w:rsid w:val="00EC085F"/>
    <w:rsid w:val="00EC12EA"/>
    <w:rsid w:val="00ED7CA9"/>
    <w:rsid w:val="00F0208F"/>
    <w:rsid w:val="00F0471E"/>
    <w:rsid w:val="00F04A35"/>
    <w:rsid w:val="00F05007"/>
    <w:rsid w:val="00F0774E"/>
    <w:rsid w:val="00F16892"/>
    <w:rsid w:val="00F16ACD"/>
    <w:rsid w:val="00F41499"/>
    <w:rsid w:val="00F42AF2"/>
    <w:rsid w:val="00F4548A"/>
    <w:rsid w:val="00F45BAC"/>
    <w:rsid w:val="00F5700B"/>
    <w:rsid w:val="00F72BB1"/>
    <w:rsid w:val="00F762AE"/>
    <w:rsid w:val="00F91A37"/>
    <w:rsid w:val="00FA7D24"/>
    <w:rsid w:val="00FB0876"/>
    <w:rsid w:val="00FB1F1B"/>
    <w:rsid w:val="00FB3309"/>
    <w:rsid w:val="00FC2A8D"/>
    <w:rsid w:val="00FE58E6"/>
    <w:rsid w:val="00F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B"/>
    <w:rPr>
      <w:sz w:val="24"/>
      <w:szCs w:val="24"/>
    </w:rPr>
  </w:style>
  <w:style w:type="paragraph" w:styleId="Heading1">
    <w:name w:val="heading 1"/>
    <w:basedOn w:val="Normal"/>
    <w:next w:val="Normal"/>
    <w:link w:val="Heading1Char"/>
    <w:qFormat/>
    <w:rsid w:val="003E2549"/>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3E2549"/>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qFormat/>
    <w:rsid w:val="003E2549"/>
    <w:pPr>
      <w:keepNext/>
      <w:spacing w:before="240" w:after="60"/>
      <w:outlineLvl w:val="2"/>
    </w:pPr>
    <w:rPr>
      <w:rFonts w:ascii="Cambria"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549"/>
    <w:rPr>
      <w:rFonts w:ascii="Cambria" w:hAnsi="Cambria"/>
      <w:b/>
      <w:bCs/>
      <w:kern w:val="32"/>
      <w:sz w:val="32"/>
      <w:szCs w:val="32"/>
      <w:lang w:val="en-US" w:eastAsia="en-US" w:bidi="en-US"/>
    </w:rPr>
  </w:style>
  <w:style w:type="character" w:customStyle="1" w:styleId="Heading2Char">
    <w:name w:val="Heading 2 Char"/>
    <w:basedOn w:val="DefaultParagraphFont"/>
    <w:link w:val="Heading2"/>
    <w:rsid w:val="003E2549"/>
    <w:rPr>
      <w:rFonts w:ascii="Cambria" w:hAnsi="Cambria"/>
      <w:b/>
      <w:bCs/>
      <w:i/>
      <w:iCs/>
      <w:sz w:val="28"/>
      <w:szCs w:val="28"/>
      <w:lang w:val="en-US" w:eastAsia="en-US" w:bidi="en-US"/>
    </w:rPr>
  </w:style>
  <w:style w:type="character" w:customStyle="1" w:styleId="Heading3Char">
    <w:name w:val="Heading 3 Char"/>
    <w:basedOn w:val="DefaultParagraphFont"/>
    <w:link w:val="Heading3"/>
    <w:rsid w:val="003E2549"/>
    <w:rPr>
      <w:rFonts w:ascii="Cambria" w:hAnsi="Cambria"/>
      <w:b/>
      <w:bCs/>
      <w:sz w:val="26"/>
      <w:szCs w:val="26"/>
      <w:lang w:val="en-US" w:eastAsia="en-US" w:bidi="en-US"/>
    </w:rPr>
  </w:style>
  <w:style w:type="paragraph" w:customStyle="1" w:styleId="Default">
    <w:name w:val="Default"/>
    <w:rsid w:val="00184D98"/>
    <w:pPr>
      <w:autoSpaceDE w:val="0"/>
      <w:autoSpaceDN w:val="0"/>
      <w:adjustRightInd w:val="0"/>
    </w:pPr>
    <w:rPr>
      <w:rFonts w:ascii="NIBFGC+TimesNewRoman" w:hAnsi="NIBFGC+TimesNewRoman" w:cs="NIBFGC+TimesNewRoman"/>
      <w:color w:val="000000"/>
      <w:sz w:val="24"/>
      <w:szCs w:val="24"/>
    </w:rPr>
  </w:style>
  <w:style w:type="character" w:styleId="Hyperlink">
    <w:name w:val="Hyperlink"/>
    <w:basedOn w:val="DefaultParagraphFont"/>
    <w:uiPriority w:val="99"/>
    <w:rsid w:val="00AD71EA"/>
    <w:rPr>
      <w:color w:val="0000FF"/>
      <w:u w:val="single"/>
    </w:rPr>
  </w:style>
  <w:style w:type="paragraph" w:styleId="Footer">
    <w:name w:val="footer"/>
    <w:basedOn w:val="Normal"/>
    <w:link w:val="FooterChar"/>
    <w:uiPriority w:val="99"/>
    <w:rsid w:val="00C8288A"/>
    <w:pPr>
      <w:tabs>
        <w:tab w:val="center" w:pos="4320"/>
        <w:tab w:val="right" w:pos="8640"/>
      </w:tabs>
    </w:pPr>
  </w:style>
  <w:style w:type="character" w:customStyle="1" w:styleId="FooterChar">
    <w:name w:val="Footer Char"/>
    <w:basedOn w:val="DefaultParagraphFont"/>
    <w:link w:val="Footer"/>
    <w:uiPriority w:val="99"/>
    <w:rsid w:val="00867DE9"/>
    <w:rPr>
      <w:sz w:val="24"/>
      <w:szCs w:val="24"/>
    </w:rPr>
  </w:style>
  <w:style w:type="character" w:styleId="PageNumber">
    <w:name w:val="page number"/>
    <w:basedOn w:val="DefaultParagraphFont"/>
    <w:rsid w:val="00C8288A"/>
  </w:style>
  <w:style w:type="paragraph" w:styleId="Header">
    <w:name w:val="header"/>
    <w:basedOn w:val="Normal"/>
    <w:rsid w:val="00E610A1"/>
    <w:pPr>
      <w:tabs>
        <w:tab w:val="center" w:pos="4320"/>
        <w:tab w:val="right" w:pos="8640"/>
      </w:tabs>
    </w:pPr>
  </w:style>
  <w:style w:type="paragraph" w:styleId="NormalWeb">
    <w:name w:val="Normal (Web)"/>
    <w:basedOn w:val="Normal"/>
    <w:rsid w:val="008E52BE"/>
    <w:pPr>
      <w:spacing w:before="100" w:beforeAutospacing="1" w:after="100" w:afterAutospacing="1"/>
    </w:pPr>
    <w:rPr>
      <w:rFonts w:ascii="Georgia" w:hAnsi="Georgia"/>
      <w:sz w:val="23"/>
      <w:szCs w:val="23"/>
    </w:rPr>
  </w:style>
  <w:style w:type="character" w:styleId="Strong">
    <w:name w:val="Strong"/>
    <w:basedOn w:val="DefaultParagraphFont"/>
    <w:qFormat/>
    <w:rsid w:val="008E52BE"/>
    <w:rPr>
      <w:b/>
      <w:bCs/>
    </w:rPr>
  </w:style>
  <w:style w:type="paragraph" w:styleId="BalloonText">
    <w:name w:val="Balloon Text"/>
    <w:basedOn w:val="Normal"/>
    <w:link w:val="BalloonTextChar"/>
    <w:rsid w:val="00C75BA6"/>
    <w:rPr>
      <w:rFonts w:ascii="Tahoma" w:hAnsi="Tahoma" w:cs="Tahoma"/>
      <w:sz w:val="16"/>
      <w:szCs w:val="16"/>
    </w:rPr>
  </w:style>
  <w:style w:type="character" w:customStyle="1" w:styleId="BalloonTextChar">
    <w:name w:val="Balloon Text Char"/>
    <w:basedOn w:val="DefaultParagraphFont"/>
    <w:link w:val="BalloonText"/>
    <w:rsid w:val="00C75BA6"/>
    <w:rPr>
      <w:rFonts w:ascii="Tahoma" w:hAnsi="Tahoma" w:cs="Tahoma"/>
      <w:sz w:val="16"/>
      <w:szCs w:val="16"/>
    </w:rPr>
  </w:style>
  <w:style w:type="paragraph" w:styleId="ListParagraph">
    <w:name w:val="List Paragraph"/>
    <w:basedOn w:val="Normal"/>
    <w:uiPriority w:val="34"/>
    <w:qFormat/>
    <w:rsid w:val="00AB0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B"/>
    <w:rPr>
      <w:sz w:val="24"/>
      <w:szCs w:val="24"/>
    </w:rPr>
  </w:style>
  <w:style w:type="paragraph" w:styleId="Heading1">
    <w:name w:val="heading 1"/>
    <w:basedOn w:val="Normal"/>
    <w:next w:val="Normal"/>
    <w:link w:val="Heading1Char"/>
    <w:qFormat/>
    <w:rsid w:val="003E2549"/>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3E2549"/>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qFormat/>
    <w:rsid w:val="003E2549"/>
    <w:pPr>
      <w:keepNext/>
      <w:spacing w:before="240" w:after="60"/>
      <w:outlineLvl w:val="2"/>
    </w:pPr>
    <w:rPr>
      <w:rFonts w:ascii="Cambria"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549"/>
    <w:rPr>
      <w:rFonts w:ascii="Cambria" w:hAnsi="Cambria"/>
      <w:b/>
      <w:bCs/>
      <w:kern w:val="32"/>
      <w:sz w:val="32"/>
      <w:szCs w:val="32"/>
      <w:lang w:val="en-US" w:eastAsia="en-US" w:bidi="en-US"/>
    </w:rPr>
  </w:style>
  <w:style w:type="character" w:customStyle="1" w:styleId="Heading2Char">
    <w:name w:val="Heading 2 Char"/>
    <w:basedOn w:val="DefaultParagraphFont"/>
    <w:link w:val="Heading2"/>
    <w:rsid w:val="003E2549"/>
    <w:rPr>
      <w:rFonts w:ascii="Cambria" w:hAnsi="Cambria"/>
      <w:b/>
      <w:bCs/>
      <w:i/>
      <w:iCs/>
      <w:sz w:val="28"/>
      <w:szCs w:val="28"/>
      <w:lang w:val="en-US" w:eastAsia="en-US" w:bidi="en-US"/>
    </w:rPr>
  </w:style>
  <w:style w:type="character" w:customStyle="1" w:styleId="Heading3Char">
    <w:name w:val="Heading 3 Char"/>
    <w:basedOn w:val="DefaultParagraphFont"/>
    <w:link w:val="Heading3"/>
    <w:rsid w:val="003E2549"/>
    <w:rPr>
      <w:rFonts w:ascii="Cambria" w:hAnsi="Cambria"/>
      <w:b/>
      <w:bCs/>
      <w:sz w:val="26"/>
      <w:szCs w:val="26"/>
      <w:lang w:val="en-US" w:eastAsia="en-US" w:bidi="en-US"/>
    </w:rPr>
  </w:style>
  <w:style w:type="paragraph" w:customStyle="1" w:styleId="Default">
    <w:name w:val="Default"/>
    <w:rsid w:val="00184D98"/>
    <w:pPr>
      <w:autoSpaceDE w:val="0"/>
      <w:autoSpaceDN w:val="0"/>
      <w:adjustRightInd w:val="0"/>
    </w:pPr>
    <w:rPr>
      <w:rFonts w:ascii="NIBFGC+TimesNewRoman" w:hAnsi="NIBFGC+TimesNewRoman" w:cs="NIBFGC+TimesNewRoman"/>
      <w:color w:val="000000"/>
      <w:sz w:val="24"/>
      <w:szCs w:val="24"/>
    </w:rPr>
  </w:style>
  <w:style w:type="character" w:styleId="Hyperlink">
    <w:name w:val="Hyperlink"/>
    <w:basedOn w:val="DefaultParagraphFont"/>
    <w:uiPriority w:val="99"/>
    <w:rsid w:val="00AD71EA"/>
    <w:rPr>
      <w:color w:val="0000FF"/>
      <w:u w:val="single"/>
    </w:rPr>
  </w:style>
  <w:style w:type="paragraph" w:styleId="Footer">
    <w:name w:val="footer"/>
    <w:basedOn w:val="Normal"/>
    <w:link w:val="FooterChar"/>
    <w:uiPriority w:val="99"/>
    <w:rsid w:val="00C8288A"/>
    <w:pPr>
      <w:tabs>
        <w:tab w:val="center" w:pos="4320"/>
        <w:tab w:val="right" w:pos="8640"/>
      </w:tabs>
    </w:pPr>
  </w:style>
  <w:style w:type="character" w:customStyle="1" w:styleId="FooterChar">
    <w:name w:val="Footer Char"/>
    <w:basedOn w:val="DefaultParagraphFont"/>
    <w:link w:val="Footer"/>
    <w:uiPriority w:val="99"/>
    <w:rsid w:val="00867DE9"/>
    <w:rPr>
      <w:sz w:val="24"/>
      <w:szCs w:val="24"/>
    </w:rPr>
  </w:style>
  <w:style w:type="character" w:styleId="PageNumber">
    <w:name w:val="page number"/>
    <w:basedOn w:val="DefaultParagraphFont"/>
    <w:rsid w:val="00C8288A"/>
  </w:style>
  <w:style w:type="paragraph" w:styleId="Header">
    <w:name w:val="header"/>
    <w:basedOn w:val="Normal"/>
    <w:rsid w:val="00E610A1"/>
    <w:pPr>
      <w:tabs>
        <w:tab w:val="center" w:pos="4320"/>
        <w:tab w:val="right" w:pos="8640"/>
      </w:tabs>
    </w:pPr>
  </w:style>
  <w:style w:type="paragraph" w:styleId="NormalWeb">
    <w:name w:val="Normal (Web)"/>
    <w:basedOn w:val="Normal"/>
    <w:rsid w:val="008E52BE"/>
    <w:pPr>
      <w:spacing w:before="100" w:beforeAutospacing="1" w:after="100" w:afterAutospacing="1"/>
    </w:pPr>
    <w:rPr>
      <w:rFonts w:ascii="Georgia" w:hAnsi="Georgia"/>
      <w:sz w:val="23"/>
      <w:szCs w:val="23"/>
    </w:rPr>
  </w:style>
  <w:style w:type="character" w:styleId="Strong">
    <w:name w:val="Strong"/>
    <w:basedOn w:val="DefaultParagraphFont"/>
    <w:qFormat/>
    <w:rsid w:val="008E52BE"/>
    <w:rPr>
      <w:b/>
      <w:bCs/>
    </w:rPr>
  </w:style>
  <w:style w:type="paragraph" w:styleId="BalloonText">
    <w:name w:val="Balloon Text"/>
    <w:basedOn w:val="Normal"/>
    <w:link w:val="BalloonTextChar"/>
    <w:rsid w:val="00C75BA6"/>
    <w:rPr>
      <w:rFonts w:ascii="Tahoma" w:hAnsi="Tahoma" w:cs="Tahoma"/>
      <w:sz w:val="16"/>
      <w:szCs w:val="16"/>
    </w:rPr>
  </w:style>
  <w:style w:type="character" w:customStyle="1" w:styleId="BalloonTextChar">
    <w:name w:val="Balloon Text Char"/>
    <w:basedOn w:val="DefaultParagraphFont"/>
    <w:link w:val="BalloonText"/>
    <w:rsid w:val="00C75BA6"/>
    <w:rPr>
      <w:rFonts w:ascii="Tahoma" w:hAnsi="Tahoma" w:cs="Tahoma"/>
      <w:sz w:val="16"/>
      <w:szCs w:val="16"/>
    </w:rPr>
  </w:style>
  <w:style w:type="paragraph" w:styleId="ListParagraph">
    <w:name w:val="List Paragraph"/>
    <w:basedOn w:val="Normal"/>
    <w:uiPriority w:val="34"/>
    <w:qFormat/>
    <w:rsid w:val="00AB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96">
      <w:bodyDiv w:val="1"/>
      <w:marLeft w:val="0"/>
      <w:marRight w:val="0"/>
      <w:marTop w:val="0"/>
      <w:marBottom w:val="0"/>
      <w:divBdr>
        <w:top w:val="none" w:sz="0" w:space="0" w:color="auto"/>
        <w:left w:val="none" w:sz="0" w:space="0" w:color="auto"/>
        <w:bottom w:val="none" w:sz="0" w:space="0" w:color="auto"/>
        <w:right w:val="none" w:sz="0" w:space="0" w:color="auto"/>
      </w:divBdr>
    </w:div>
    <w:div w:id="153837807">
      <w:bodyDiv w:val="1"/>
      <w:marLeft w:val="0"/>
      <w:marRight w:val="0"/>
      <w:marTop w:val="0"/>
      <w:marBottom w:val="0"/>
      <w:divBdr>
        <w:top w:val="none" w:sz="0" w:space="0" w:color="auto"/>
        <w:left w:val="none" w:sz="0" w:space="0" w:color="auto"/>
        <w:bottom w:val="none" w:sz="0" w:space="0" w:color="auto"/>
        <w:right w:val="none" w:sz="0" w:space="0" w:color="auto"/>
      </w:divBdr>
    </w:div>
    <w:div w:id="362824294">
      <w:bodyDiv w:val="1"/>
      <w:marLeft w:val="0"/>
      <w:marRight w:val="0"/>
      <w:marTop w:val="0"/>
      <w:marBottom w:val="0"/>
      <w:divBdr>
        <w:top w:val="none" w:sz="0" w:space="0" w:color="auto"/>
        <w:left w:val="none" w:sz="0" w:space="0" w:color="auto"/>
        <w:bottom w:val="none" w:sz="0" w:space="0" w:color="auto"/>
        <w:right w:val="none" w:sz="0" w:space="0" w:color="auto"/>
      </w:divBdr>
    </w:div>
    <w:div w:id="414087276">
      <w:bodyDiv w:val="1"/>
      <w:marLeft w:val="3750"/>
      <w:marRight w:val="0"/>
      <w:marTop w:val="0"/>
      <w:marBottom w:val="0"/>
      <w:divBdr>
        <w:top w:val="none" w:sz="0" w:space="0" w:color="auto"/>
        <w:left w:val="none" w:sz="0" w:space="0" w:color="auto"/>
        <w:bottom w:val="none" w:sz="0" w:space="0" w:color="auto"/>
        <w:right w:val="none" w:sz="0" w:space="0" w:color="auto"/>
      </w:divBdr>
      <w:divsChild>
        <w:div w:id="707337579">
          <w:marLeft w:val="10"/>
          <w:marRight w:val="10"/>
          <w:marTop w:val="0"/>
          <w:marBottom w:val="0"/>
          <w:divBdr>
            <w:top w:val="none" w:sz="0" w:space="0" w:color="auto"/>
            <w:left w:val="none" w:sz="0" w:space="0" w:color="auto"/>
            <w:bottom w:val="none" w:sz="0" w:space="0" w:color="auto"/>
            <w:right w:val="none" w:sz="0" w:space="0" w:color="auto"/>
          </w:divBdr>
          <w:divsChild>
            <w:div w:id="631328097">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 w:id="581649321">
      <w:bodyDiv w:val="1"/>
      <w:marLeft w:val="0"/>
      <w:marRight w:val="0"/>
      <w:marTop w:val="0"/>
      <w:marBottom w:val="0"/>
      <w:divBdr>
        <w:top w:val="none" w:sz="0" w:space="0" w:color="auto"/>
        <w:left w:val="none" w:sz="0" w:space="0" w:color="auto"/>
        <w:bottom w:val="none" w:sz="0" w:space="0" w:color="auto"/>
        <w:right w:val="none" w:sz="0" w:space="0" w:color="auto"/>
      </w:divBdr>
    </w:div>
    <w:div w:id="589118895">
      <w:bodyDiv w:val="1"/>
      <w:marLeft w:val="0"/>
      <w:marRight w:val="0"/>
      <w:marTop w:val="0"/>
      <w:marBottom w:val="0"/>
      <w:divBdr>
        <w:top w:val="none" w:sz="0" w:space="0" w:color="auto"/>
        <w:left w:val="none" w:sz="0" w:space="0" w:color="auto"/>
        <w:bottom w:val="none" w:sz="0" w:space="0" w:color="auto"/>
        <w:right w:val="none" w:sz="0" w:space="0" w:color="auto"/>
      </w:divBdr>
    </w:div>
    <w:div w:id="664821135">
      <w:bodyDiv w:val="1"/>
      <w:marLeft w:val="0"/>
      <w:marRight w:val="0"/>
      <w:marTop w:val="0"/>
      <w:marBottom w:val="0"/>
      <w:divBdr>
        <w:top w:val="none" w:sz="0" w:space="0" w:color="auto"/>
        <w:left w:val="none" w:sz="0" w:space="0" w:color="auto"/>
        <w:bottom w:val="none" w:sz="0" w:space="0" w:color="auto"/>
        <w:right w:val="none" w:sz="0" w:space="0" w:color="auto"/>
      </w:divBdr>
    </w:div>
    <w:div w:id="745036334">
      <w:bodyDiv w:val="1"/>
      <w:marLeft w:val="0"/>
      <w:marRight w:val="0"/>
      <w:marTop w:val="0"/>
      <w:marBottom w:val="0"/>
      <w:divBdr>
        <w:top w:val="none" w:sz="0" w:space="0" w:color="auto"/>
        <w:left w:val="none" w:sz="0" w:space="0" w:color="auto"/>
        <w:bottom w:val="none" w:sz="0" w:space="0" w:color="auto"/>
        <w:right w:val="none" w:sz="0" w:space="0" w:color="auto"/>
      </w:divBdr>
    </w:div>
    <w:div w:id="795874707">
      <w:bodyDiv w:val="1"/>
      <w:marLeft w:val="0"/>
      <w:marRight w:val="0"/>
      <w:marTop w:val="0"/>
      <w:marBottom w:val="0"/>
      <w:divBdr>
        <w:top w:val="none" w:sz="0" w:space="0" w:color="auto"/>
        <w:left w:val="none" w:sz="0" w:space="0" w:color="auto"/>
        <w:bottom w:val="none" w:sz="0" w:space="0" w:color="auto"/>
        <w:right w:val="none" w:sz="0" w:space="0" w:color="auto"/>
      </w:divBdr>
    </w:div>
    <w:div w:id="883371670">
      <w:bodyDiv w:val="1"/>
      <w:marLeft w:val="0"/>
      <w:marRight w:val="0"/>
      <w:marTop w:val="0"/>
      <w:marBottom w:val="0"/>
      <w:divBdr>
        <w:top w:val="none" w:sz="0" w:space="0" w:color="auto"/>
        <w:left w:val="none" w:sz="0" w:space="0" w:color="auto"/>
        <w:bottom w:val="none" w:sz="0" w:space="0" w:color="auto"/>
        <w:right w:val="none" w:sz="0" w:space="0" w:color="auto"/>
      </w:divBdr>
    </w:div>
    <w:div w:id="996999759">
      <w:bodyDiv w:val="1"/>
      <w:marLeft w:val="0"/>
      <w:marRight w:val="0"/>
      <w:marTop w:val="0"/>
      <w:marBottom w:val="0"/>
      <w:divBdr>
        <w:top w:val="none" w:sz="0" w:space="0" w:color="auto"/>
        <w:left w:val="none" w:sz="0" w:space="0" w:color="auto"/>
        <w:bottom w:val="none" w:sz="0" w:space="0" w:color="auto"/>
        <w:right w:val="none" w:sz="0" w:space="0" w:color="auto"/>
      </w:divBdr>
    </w:div>
    <w:div w:id="1007058256">
      <w:bodyDiv w:val="1"/>
      <w:marLeft w:val="0"/>
      <w:marRight w:val="0"/>
      <w:marTop w:val="0"/>
      <w:marBottom w:val="0"/>
      <w:divBdr>
        <w:top w:val="none" w:sz="0" w:space="0" w:color="auto"/>
        <w:left w:val="none" w:sz="0" w:space="0" w:color="auto"/>
        <w:bottom w:val="none" w:sz="0" w:space="0" w:color="auto"/>
        <w:right w:val="none" w:sz="0" w:space="0" w:color="auto"/>
      </w:divBdr>
    </w:div>
    <w:div w:id="1068263070">
      <w:bodyDiv w:val="1"/>
      <w:marLeft w:val="0"/>
      <w:marRight w:val="0"/>
      <w:marTop w:val="0"/>
      <w:marBottom w:val="0"/>
      <w:divBdr>
        <w:top w:val="none" w:sz="0" w:space="0" w:color="auto"/>
        <w:left w:val="none" w:sz="0" w:space="0" w:color="auto"/>
        <w:bottom w:val="none" w:sz="0" w:space="0" w:color="auto"/>
        <w:right w:val="none" w:sz="0" w:space="0" w:color="auto"/>
      </w:divBdr>
    </w:div>
    <w:div w:id="1276672432">
      <w:bodyDiv w:val="1"/>
      <w:marLeft w:val="0"/>
      <w:marRight w:val="0"/>
      <w:marTop w:val="0"/>
      <w:marBottom w:val="0"/>
      <w:divBdr>
        <w:top w:val="none" w:sz="0" w:space="0" w:color="auto"/>
        <w:left w:val="none" w:sz="0" w:space="0" w:color="auto"/>
        <w:bottom w:val="none" w:sz="0" w:space="0" w:color="auto"/>
        <w:right w:val="none" w:sz="0" w:space="0" w:color="auto"/>
      </w:divBdr>
    </w:div>
    <w:div w:id="1333219681">
      <w:bodyDiv w:val="1"/>
      <w:marLeft w:val="0"/>
      <w:marRight w:val="0"/>
      <w:marTop w:val="0"/>
      <w:marBottom w:val="0"/>
      <w:divBdr>
        <w:top w:val="none" w:sz="0" w:space="0" w:color="auto"/>
        <w:left w:val="none" w:sz="0" w:space="0" w:color="auto"/>
        <w:bottom w:val="none" w:sz="0" w:space="0" w:color="auto"/>
        <w:right w:val="none" w:sz="0" w:space="0" w:color="auto"/>
      </w:divBdr>
    </w:div>
    <w:div w:id="1337148732">
      <w:bodyDiv w:val="1"/>
      <w:marLeft w:val="0"/>
      <w:marRight w:val="0"/>
      <w:marTop w:val="0"/>
      <w:marBottom w:val="0"/>
      <w:divBdr>
        <w:top w:val="none" w:sz="0" w:space="0" w:color="auto"/>
        <w:left w:val="none" w:sz="0" w:space="0" w:color="auto"/>
        <w:bottom w:val="none" w:sz="0" w:space="0" w:color="auto"/>
        <w:right w:val="none" w:sz="0" w:space="0" w:color="auto"/>
      </w:divBdr>
    </w:div>
    <w:div w:id="1468013998">
      <w:bodyDiv w:val="1"/>
      <w:marLeft w:val="0"/>
      <w:marRight w:val="0"/>
      <w:marTop w:val="0"/>
      <w:marBottom w:val="0"/>
      <w:divBdr>
        <w:top w:val="none" w:sz="0" w:space="0" w:color="auto"/>
        <w:left w:val="none" w:sz="0" w:space="0" w:color="auto"/>
        <w:bottom w:val="none" w:sz="0" w:space="0" w:color="auto"/>
        <w:right w:val="none" w:sz="0" w:space="0" w:color="auto"/>
      </w:divBdr>
    </w:div>
    <w:div w:id="1503937693">
      <w:bodyDiv w:val="1"/>
      <w:marLeft w:val="0"/>
      <w:marRight w:val="0"/>
      <w:marTop w:val="0"/>
      <w:marBottom w:val="0"/>
      <w:divBdr>
        <w:top w:val="none" w:sz="0" w:space="0" w:color="auto"/>
        <w:left w:val="none" w:sz="0" w:space="0" w:color="auto"/>
        <w:bottom w:val="none" w:sz="0" w:space="0" w:color="auto"/>
        <w:right w:val="none" w:sz="0" w:space="0" w:color="auto"/>
      </w:divBdr>
    </w:div>
    <w:div w:id="1593977145">
      <w:bodyDiv w:val="1"/>
      <w:marLeft w:val="0"/>
      <w:marRight w:val="0"/>
      <w:marTop w:val="0"/>
      <w:marBottom w:val="0"/>
      <w:divBdr>
        <w:top w:val="none" w:sz="0" w:space="0" w:color="auto"/>
        <w:left w:val="none" w:sz="0" w:space="0" w:color="auto"/>
        <w:bottom w:val="none" w:sz="0" w:space="0" w:color="auto"/>
        <w:right w:val="none" w:sz="0" w:space="0" w:color="auto"/>
      </w:divBdr>
    </w:div>
    <w:div w:id="1660572231">
      <w:bodyDiv w:val="1"/>
      <w:marLeft w:val="0"/>
      <w:marRight w:val="0"/>
      <w:marTop w:val="0"/>
      <w:marBottom w:val="0"/>
      <w:divBdr>
        <w:top w:val="none" w:sz="0" w:space="0" w:color="auto"/>
        <w:left w:val="none" w:sz="0" w:space="0" w:color="auto"/>
        <w:bottom w:val="none" w:sz="0" w:space="0" w:color="auto"/>
        <w:right w:val="none" w:sz="0" w:space="0" w:color="auto"/>
      </w:divBdr>
    </w:div>
    <w:div w:id="1665933987">
      <w:bodyDiv w:val="1"/>
      <w:marLeft w:val="0"/>
      <w:marRight w:val="0"/>
      <w:marTop w:val="0"/>
      <w:marBottom w:val="0"/>
      <w:divBdr>
        <w:top w:val="none" w:sz="0" w:space="0" w:color="auto"/>
        <w:left w:val="none" w:sz="0" w:space="0" w:color="auto"/>
        <w:bottom w:val="none" w:sz="0" w:space="0" w:color="auto"/>
        <w:right w:val="none" w:sz="0" w:space="0" w:color="auto"/>
      </w:divBdr>
    </w:div>
    <w:div w:id="1695303208">
      <w:bodyDiv w:val="1"/>
      <w:marLeft w:val="0"/>
      <w:marRight w:val="0"/>
      <w:marTop w:val="0"/>
      <w:marBottom w:val="0"/>
      <w:divBdr>
        <w:top w:val="none" w:sz="0" w:space="0" w:color="auto"/>
        <w:left w:val="none" w:sz="0" w:space="0" w:color="auto"/>
        <w:bottom w:val="none" w:sz="0" w:space="0" w:color="auto"/>
        <w:right w:val="none" w:sz="0" w:space="0" w:color="auto"/>
      </w:divBdr>
    </w:div>
    <w:div w:id="1819228348">
      <w:bodyDiv w:val="1"/>
      <w:marLeft w:val="0"/>
      <w:marRight w:val="0"/>
      <w:marTop w:val="0"/>
      <w:marBottom w:val="0"/>
      <w:divBdr>
        <w:top w:val="none" w:sz="0" w:space="0" w:color="auto"/>
        <w:left w:val="none" w:sz="0" w:space="0" w:color="auto"/>
        <w:bottom w:val="none" w:sz="0" w:space="0" w:color="auto"/>
        <w:right w:val="none" w:sz="0" w:space="0" w:color="auto"/>
      </w:divBdr>
    </w:div>
    <w:div w:id="1847402757">
      <w:bodyDiv w:val="1"/>
      <w:marLeft w:val="0"/>
      <w:marRight w:val="0"/>
      <w:marTop w:val="0"/>
      <w:marBottom w:val="0"/>
      <w:divBdr>
        <w:top w:val="none" w:sz="0" w:space="0" w:color="auto"/>
        <w:left w:val="none" w:sz="0" w:space="0" w:color="auto"/>
        <w:bottom w:val="none" w:sz="0" w:space="0" w:color="auto"/>
        <w:right w:val="none" w:sz="0" w:space="0" w:color="auto"/>
      </w:divBdr>
    </w:div>
    <w:div w:id="2071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oleObject" Target="embeddings/oleObject1.bin"/><Relationship Id="rId29" Type="http://schemas.openxmlformats.org/officeDocument/2006/relationships/oleObject" Target="embeddings/oleObject2.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1.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F:\Trinity\Reports\Fall%20'12%20Final%20Report\Report%20-%20Fall%202012%20-%20Math%20102,%20108,%20123.xlsx" TargetMode="External"/><Relationship Id="rId1" Type="http://schemas.openxmlformats.org/officeDocument/2006/relationships/image" Target="../media/image3.jpeg"/></Relationships>
</file>

<file path=word/charts/_rels/chart15.xml.rels><?xml version="1.0" encoding="UTF-8" standalone="yes"?>
<Relationships xmlns="http://schemas.openxmlformats.org/package/2006/relationships"><Relationship Id="rId2" Type="http://schemas.openxmlformats.org/officeDocument/2006/relationships/oleObject" Target="file:///F:\Trinity\Reports\Fall%20'12%20Final%20Report\Report%20-%20Fall%202012%20-%20Math%20102,%20108,%20123.xlsx" TargetMode="External"/><Relationship Id="rId1" Type="http://schemas.openxmlformats.org/officeDocument/2006/relationships/image" Target="../media/image3.jpeg"/></Relationships>
</file>

<file path=word/charts/_rels/chart16.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Trinity\Reports\Fall%20'12%20Final%20Report\Report%20-%20Fall%202012%20-%20Math%20102,%20108,%201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Trinity\Reports\Fall%20'12%20Final%20Report\Fall%20'12%20Final%20Report.xlsx" TargetMode="External"/><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2" Type="http://schemas.openxmlformats.org/officeDocument/2006/relationships/oleObject" Target="file:///F:\Trinity\Reports\Fall%20'12%20Final%20Report\Fall%20'12%20Final%20Report.xlsx" TargetMode="External"/><Relationship Id="rId1" Type="http://schemas.openxmlformats.org/officeDocument/2006/relationships/image" Target="../media/image3.jpeg"/></Relationships>
</file>

<file path=word/charts/_rels/chart8.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rinity\Reports\Fall%20'12%20Final%20Report\Fall%20'12%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Pass/Not Pass Rate for All Students</c:v>
          </c:tx>
          <c:dLbls>
            <c:showLegendKey val="0"/>
            <c:showVal val="0"/>
            <c:showCatName val="1"/>
            <c:showSerName val="0"/>
            <c:showPercent val="1"/>
            <c:showBubbleSize val="0"/>
            <c:showLeaderLines val="1"/>
          </c:dLbls>
          <c:cat>
            <c:strRef>
              <c:f>Sheet1!$E$2:$E$3</c:f>
              <c:strCache>
                <c:ptCount val="2"/>
                <c:pt idx="0">
                  <c:v>Pass</c:v>
                </c:pt>
                <c:pt idx="1">
                  <c:v>Not Pass</c:v>
                </c:pt>
              </c:strCache>
            </c:strRef>
          </c:cat>
          <c:val>
            <c:numRef>
              <c:f>Sheet1!$F$2:$F$3</c:f>
              <c:numCache>
                <c:formatCode>General</c:formatCode>
                <c:ptCount val="2"/>
                <c:pt idx="0">
                  <c:v>101</c:v>
                </c:pt>
                <c:pt idx="1">
                  <c:v>90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A</c:v>
          </c:tx>
          <c:dLbls>
            <c:showLegendKey val="0"/>
            <c:showVal val="0"/>
            <c:showCatName val="1"/>
            <c:showSerName val="0"/>
            <c:showPercent val="1"/>
            <c:showBubbleSize val="0"/>
            <c:showLeaderLines val="1"/>
          </c:dLbls>
          <c:cat>
            <c:strRef>
              <c:f>Sheet3!$J$3:$J$5</c:f>
              <c:strCache>
                <c:ptCount val="3"/>
                <c:pt idx="0">
                  <c:v>Pass</c:v>
                </c:pt>
                <c:pt idx="1">
                  <c:v>Fail</c:v>
                </c:pt>
                <c:pt idx="2">
                  <c:v>W-drew</c:v>
                </c:pt>
              </c:strCache>
            </c:strRef>
          </c:cat>
          <c:val>
            <c:numRef>
              <c:f>Sheet3!$K$3:$K$5</c:f>
              <c:numCache>
                <c:formatCode>General</c:formatCode>
                <c:ptCount val="3"/>
                <c:pt idx="0">
                  <c:v>48</c:v>
                </c:pt>
                <c:pt idx="1">
                  <c:v>13</c:v>
                </c:pt>
                <c:pt idx="2">
                  <c:v>11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i="1"/>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D</c:v>
          </c:tx>
          <c:dLbls>
            <c:showLegendKey val="0"/>
            <c:showVal val="0"/>
            <c:showCatName val="1"/>
            <c:showSerName val="0"/>
            <c:showPercent val="1"/>
            <c:showBubbleSize val="0"/>
            <c:showLeaderLines val="1"/>
          </c:dLbls>
          <c:cat>
            <c:strRef>
              <c:f>Sheet6!$K$3:$K$5</c:f>
              <c:strCache>
                <c:ptCount val="3"/>
                <c:pt idx="0">
                  <c:v>Pass</c:v>
                </c:pt>
                <c:pt idx="1">
                  <c:v>Fail</c:v>
                </c:pt>
                <c:pt idx="2">
                  <c:v>W-drew</c:v>
                </c:pt>
              </c:strCache>
            </c:strRef>
          </c:cat>
          <c:val>
            <c:numRef>
              <c:f>Sheet6!$L$3:$L$5</c:f>
              <c:numCache>
                <c:formatCode>General</c:formatCode>
                <c:ptCount val="3"/>
                <c:pt idx="0">
                  <c:v>23</c:v>
                </c:pt>
                <c:pt idx="1">
                  <c:v>10</c:v>
                </c:pt>
                <c:pt idx="2">
                  <c:v>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C</c:v>
          </c:tx>
          <c:dLbls>
            <c:showLegendKey val="0"/>
            <c:showVal val="0"/>
            <c:showCatName val="1"/>
            <c:showSerName val="0"/>
            <c:showPercent val="1"/>
            <c:showBubbleSize val="0"/>
            <c:showLeaderLines val="1"/>
          </c:dLbls>
          <c:cat>
            <c:strRef>
              <c:f>Sheet5!$K$3:$K$5</c:f>
              <c:strCache>
                <c:ptCount val="3"/>
                <c:pt idx="0">
                  <c:v>Pass</c:v>
                </c:pt>
                <c:pt idx="1">
                  <c:v>Fail</c:v>
                </c:pt>
                <c:pt idx="2">
                  <c:v>W-drew</c:v>
                </c:pt>
              </c:strCache>
            </c:strRef>
          </c:cat>
          <c:val>
            <c:numRef>
              <c:f>Sheet5!$L$3:$L$5</c:f>
              <c:numCache>
                <c:formatCode>General</c:formatCode>
                <c:ptCount val="3"/>
                <c:pt idx="0">
                  <c:v>8</c:v>
                </c:pt>
                <c:pt idx="1">
                  <c:v>13</c:v>
                </c:pt>
                <c:pt idx="2">
                  <c:v>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Grade Distribution of All Students That Registered for Math 102 - Fall 2012 Semester</c:v>
          </c:tx>
          <c:dLbls>
            <c:showLegendKey val="0"/>
            <c:showVal val="0"/>
            <c:showCatName val="1"/>
            <c:showSerName val="0"/>
            <c:showPercent val="1"/>
            <c:showBubbleSize val="0"/>
            <c:showLeaderLines val="1"/>
          </c:dLbls>
          <c:cat>
            <c:strRef>
              <c:f>Sheet2!$C$38:$C$43</c:f>
              <c:strCache>
                <c:ptCount val="6"/>
                <c:pt idx="0">
                  <c:v>A</c:v>
                </c:pt>
                <c:pt idx="1">
                  <c:v>B</c:v>
                </c:pt>
                <c:pt idx="2">
                  <c:v>C</c:v>
                </c:pt>
                <c:pt idx="3">
                  <c:v>D</c:v>
                </c:pt>
                <c:pt idx="4">
                  <c:v>F</c:v>
                </c:pt>
                <c:pt idx="5">
                  <c:v>W</c:v>
                </c:pt>
              </c:strCache>
            </c:strRef>
          </c:cat>
          <c:val>
            <c:numRef>
              <c:f>Sheet2!$D$38:$D$43</c:f>
              <c:numCache>
                <c:formatCode>General</c:formatCode>
                <c:ptCount val="6"/>
                <c:pt idx="0">
                  <c:v>5</c:v>
                </c:pt>
                <c:pt idx="1">
                  <c:v>7</c:v>
                </c:pt>
                <c:pt idx="2">
                  <c:v>5</c:v>
                </c:pt>
                <c:pt idx="3">
                  <c:v>3</c:v>
                </c:pt>
                <c:pt idx="4">
                  <c:v>4</c:v>
                </c:pt>
                <c:pt idx="5">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Sheet6!$A$2</c:f>
              <c:strCache>
                <c:ptCount val="1"/>
                <c:pt idx="0">
                  <c:v>Overall Final Grade</c:v>
                </c:pt>
              </c:strCache>
            </c:strRef>
          </c:tx>
          <c:marker>
            <c:symbol val="none"/>
          </c:marker>
          <c:val>
            <c:numRef>
              <c:f>Sheet6!$A$3:$A$25</c:f>
              <c:numCache>
                <c:formatCode>General</c:formatCode>
                <c:ptCount val="23"/>
                <c:pt idx="0">
                  <c:v>76.400000000000006</c:v>
                </c:pt>
                <c:pt idx="1">
                  <c:v>79.5</c:v>
                </c:pt>
                <c:pt idx="2">
                  <c:v>87.9</c:v>
                </c:pt>
                <c:pt idx="3">
                  <c:v>59.6</c:v>
                </c:pt>
                <c:pt idx="4">
                  <c:v>75.8</c:v>
                </c:pt>
                <c:pt idx="5">
                  <c:v>67.599999999999994</c:v>
                </c:pt>
                <c:pt idx="6">
                  <c:v>86.5</c:v>
                </c:pt>
                <c:pt idx="7">
                  <c:v>78.099999999999994</c:v>
                </c:pt>
                <c:pt idx="8">
                  <c:v>82.9</c:v>
                </c:pt>
                <c:pt idx="9">
                  <c:v>92</c:v>
                </c:pt>
                <c:pt idx="10">
                  <c:v>78.599999999999994</c:v>
                </c:pt>
                <c:pt idx="11">
                  <c:v>98.7</c:v>
                </c:pt>
                <c:pt idx="12">
                  <c:v>74.599999999999994</c:v>
                </c:pt>
                <c:pt idx="13">
                  <c:v>93.1</c:v>
                </c:pt>
                <c:pt idx="14">
                  <c:v>84.4</c:v>
                </c:pt>
                <c:pt idx="15">
                  <c:v>68.5</c:v>
                </c:pt>
                <c:pt idx="16">
                  <c:v>59</c:v>
                </c:pt>
                <c:pt idx="17">
                  <c:v>79.7</c:v>
                </c:pt>
                <c:pt idx="18">
                  <c:v>56.6</c:v>
                </c:pt>
                <c:pt idx="19">
                  <c:v>98</c:v>
                </c:pt>
                <c:pt idx="20">
                  <c:v>85.8</c:v>
                </c:pt>
                <c:pt idx="21">
                  <c:v>95.3</c:v>
                </c:pt>
                <c:pt idx="22">
                  <c:v>67.2</c:v>
                </c:pt>
              </c:numCache>
            </c:numRef>
          </c:val>
          <c:smooth val="0"/>
        </c:ser>
        <c:ser>
          <c:idx val="1"/>
          <c:order val="1"/>
          <c:tx>
            <c:strRef>
              <c:f>Sheet6!$B$2</c:f>
              <c:strCache>
                <c:ptCount val="1"/>
                <c:pt idx="0">
                  <c:v>Grade Prior to Final</c:v>
                </c:pt>
              </c:strCache>
            </c:strRef>
          </c:tx>
          <c:marker>
            <c:symbol val="none"/>
          </c:marker>
          <c:val>
            <c:numRef>
              <c:f>Sheet6!$B$3:$B$25</c:f>
              <c:numCache>
                <c:formatCode>General</c:formatCode>
                <c:ptCount val="23"/>
                <c:pt idx="0">
                  <c:v>77.3</c:v>
                </c:pt>
                <c:pt idx="1">
                  <c:v>79.400000000000006</c:v>
                </c:pt>
                <c:pt idx="2">
                  <c:v>91.7</c:v>
                </c:pt>
                <c:pt idx="3">
                  <c:v>60</c:v>
                </c:pt>
                <c:pt idx="4">
                  <c:v>79.599999999999994</c:v>
                </c:pt>
                <c:pt idx="5">
                  <c:v>66</c:v>
                </c:pt>
                <c:pt idx="6">
                  <c:v>87.5</c:v>
                </c:pt>
                <c:pt idx="7">
                  <c:v>78.099999999999994</c:v>
                </c:pt>
                <c:pt idx="8">
                  <c:v>85.3</c:v>
                </c:pt>
                <c:pt idx="9">
                  <c:v>93.4</c:v>
                </c:pt>
                <c:pt idx="10">
                  <c:v>81.3</c:v>
                </c:pt>
                <c:pt idx="11">
                  <c:v>99.3</c:v>
                </c:pt>
                <c:pt idx="12">
                  <c:v>74.3</c:v>
                </c:pt>
                <c:pt idx="13">
                  <c:v>95.3</c:v>
                </c:pt>
                <c:pt idx="14">
                  <c:v>88.7</c:v>
                </c:pt>
                <c:pt idx="15">
                  <c:v>69.7</c:v>
                </c:pt>
                <c:pt idx="16">
                  <c:v>61.7</c:v>
                </c:pt>
                <c:pt idx="17">
                  <c:v>76.099999999999994</c:v>
                </c:pt>
                <c:pt idx="18">
                  <c:v>63.2</c:v>
                </c:pt>
                <c:pt idx="19">
                  <c:v>96.8</c:v>
                </c:pt>
                <c:pt idx="20">
                  <c:v>87.5</c:v>
                </c:pt>
                <c:pt idx="21">
                  <c:v>91.6</c:v>
                </c:pt>
                <c:pt idx="22">
                  <c:v>65.8</c:v>
                </c:pt>
              </c:numCache>
            </c:numRef>
          </c:val>
          <c:smooth val="0"/>
        </c:ser>
        <c:ser>
          <c:idx val="2"/>
          <c:order val="2"/>
          <c:tx>
            <c:strRef>
              <c:f>Sheet6!$C$2</c:f>
              <c:strCache>
                <c:ptCount val="1"/>
                <c:pt idx="0">
                  <c:v>Acceptable Standard</c:v>
                </c:pt>
              </c:strCache>
            </c:strRef>
          </c:tx>
          <c:marker>
            <c:symbol val="none"/>
          </c:marker>
          <c:val>
            <c:numRef>
              <c:f>Sheet6!$C$3:$C$25</c:f>
              <c:numCache>
                <c:formatCode>General</c:formatCode>
                <c:ptCount val="23"/>
                <c:pt idx="0">
                  <c:v>72</c:v>
                </c:pt>
                <c:pt idx="1">
                  <c:v>72</c:v>
                </c:pt>
                <c:pt idx="2">
                  <c:v>72</c:v>
                </c:pt>
                <c:pt idx="3">
                  <c:v>72</c:v>
                </c:pt>
                <c:pt idx="4">
                  <c:v>72</c:v>
                </c:pt>
                <c:pt idx="5">
                  <c:v>72</c:v>
                </c:pt>
                <c:pt idx="6">
                  <c:v>72</c:v>
                </c:pt>
                <c:pt idx="7">
                  <c:v>72</c:v>
                </c:pt>
                <c:pt idx="8">
                  <c:v>72</c:v>
                </c:pt>
                <c:pt idx="9">
                  <c:v>72</c:v>
                </c:pt>
                <c:pt idx="10">
                  <c:v>72</c:v>
                </c:pt>
                <c:pt idx="11">
                  <c:v>72</c:v>
                </c:pt>
                <c:pt idx="12">
                  <c:v>72</c:v>
                </c:pt>
                <c:pt idx="13">
                  <c:v>72</c:v>
                </c:pt>
                <c:pt idx="14">
                  <c:v>72</c:v>
                </c:pt>
                <c:pt idx="15">
                  <c:v>72</c:v>
                </c:pt>
                <c:pt idx="16">
                  <c:v>72</c:v>
                </c:pt>
                <c:pt idx="17">
                  <c:v>72</c:v>
                </c:pt>
                <c:pt idx="18">
                  <c:v>72</c:v>
                </c:pt>
                <c:pt idx="19">
                  <c:v>72</c:v>
                </c:pt>
                <c:pt idx="20">
                  <c:v>72</c:v>
                </c:pt>
                <c:pt idx="21">
                  <c:v>72</c:v>
                </c:pt>
                <c:pt idx="22">
                  <c:v>72</c:v>
                </c:pt>
              </c:numCache>
            </c:numRef>
          </c:val>
          <c:smooth val="0"/>
        </c:ser>
        <c:ser>
          <c:idx val="3"/>
          <c:order val="3"/>
          <c:tx>
            <c:strRef>
              <c:f>Sheet6!$D$2</c:f>
              <c:strCache>
                <c:ptCount val="1"/>
                <c:pt idx="0">
                  <c:v>Minimum Passing Grade</c:v>
                </c:pt>
              </c:strCache>
            </c:strRef>
          </c:tx>
          <c:marker>
            <c:symbol val="none"/>
          </c:marker>
          <c:val>
            <c:numRef>
              <c:f>Sheet6!$D$3:$D$25</c:f>
              <c:numCache>
                <c:formatCode>General</c:formatCode>
                <c:ptCount val="23"/>
                <c:pt idx="0">
                  <c:v>63</c:v>
                </c:pt>
                <c:pt idx="1">
                  <c:v>63</c:v>
                </c:pt>
                <c:pt idx="2">
                  <c:v>63</c:v>
                </c:pt>
                <c:pt idx="3">
                  <c:v>63</c:v>
                </c:pt>
                <c:pt idx="4">
                  <c:v>63</c:v>
                </c:pt>
                <c:pt idx="5">
                  <c:v>63</c:v>
                </c:pt>
                <c:pt idx="6">
                  <c:v>63</c:v>
                </c:pt>
                <c:pt idx="7">
                  <c:v>63</c:v>
                </c:pt>
                <c:pt idx="8">
                  <c:v>63</c:v>
                </c:pt>
                <c:pt idx="9">
                  <c:v>63</c:v>
                </c:pt>
                <c:pt idx="10">
                  <c:v>63</c:v>
                </c:pt>
                <c:pt idx="11">
                  <c:v>63</c:v>
                </c:pt>
                <c:pt idx="12">
                  <c:v>63</c:v>
                </c:pt>
                <c:pt idx="13">
                  <c:v>63</c:v>
                </c:pt>
                <c:pt idx="14">
                  <c:v>63</c:v>
                </c:pt>
                <c:pt idx="15">
                  <c:v>63</c:v>
                </c:pt>
                <c:pt idx="16">
                  <c:v>63</c:v>
                </c:pt>
                <c:pt idx="17">
                  <c:v>63</c:v>
                </c:pt>
                <c:pt idx="18">
                  <c:v>63</c:v>
                </c:pt>
                <c:pt idx="19">
                  <c:v>63</c:v>
                </c:pt>
                <c:pt idx="20">
                  <c:v>63</c:v>
                </c:pt>
                <c:pt idx="21">
                  <c:v>63</c:v>
                </c:pt>
                <c:pt idx="22">
                  <c:v>63</c:v>
                </c:pt>
              </c:numCache>
            </c:numRef>
          </c:val>
          <c:smooth val="0"/>
        </c:ser>
        <c:dLbls>
          <c:showLegendKey val="0"/>
          <c:showVal val="0"/>
          <c:showCatName val="0"/>
          <c:showSerName val="0"/>
          <c:showPercent val="0"/>
          <c:showBubbleSize val="0"/>
        </c:dLbls>
        <c:marker val="1"/>
        <c:smooth val="0"/>
        <c:axId val="67693184"/>
        <c:axId val="67703552"/>
      </c:lineChart>
      <c:catAx>
        <c:axId val="67693184"/>
        <c:scaling>
          <c:orientation val="minMax"/>
        </c:scaling>
        <c:delete val="0"/>
        <c:axPos val="b"/>
        <c:title>
          <c:tx>
            <c:rich>
              <a:bodyPr/>
              <a:lstStyle/>
              <a:p>
                <a:pPr>
                  <a:defRPr/>
                </a:pPr>
                <a:r>
                  <a:rPr lang="en-US"/>
                  <a:t>Students</a:t>
                </a:r>
              </a:p>
            </c:rich>
          </c:tx>
          <c:overlay val="0"/>
        </c:title>
        <c:majorTickMark val="out"/>
        <c:minorTickMark val="none"/>
        <c:tickLblPos val="nextTo"/>
        <c:crossAx val="67703552"/>
        <c:crosses val="autoZero"/>
        <c:auto val="1"/>
        <c:lblAlgn val="ctr"/>
        <c:lblOffset val="100"/>
        <c:noMultiLvlLbl val="0"/>
      </c:catAx>
      <c:valAx>
        <c:axId val="67703552"/>
        <c:scaling>
          <c:orientation val="minMax"/>
        </c:scaling>
        <c:delete val="0"/>
        <c:axPos val="l"/>
        <c:majorGridlines/>
        <c:title>
          <c:tx>
            <c:rich>
              <a:bodyPr rot="-5400000" vert="horz"/>
              <a:lstStyle/>
              <a:p>
                <a:pPr>
                  <a:defRPr/>
                </a:pPr>
                <a:r>
                  <a:rPr lang="en-US"/>
                  <a:t>Grades</a:t>
                </a:r>
                <a:r>
                  <a:rPr lang="en-US" baseline="0"/>
                  <a:t> as a Percentage (%)</a:t>
                </a:r>
                <a:endParaRPr lang="en-US"/>
              </a:p>
            </c:rich>
          </c:tx>
          <c:overlay val="0"/>
        </c:title>
        <c:numFmt formatCode="General" sourceLinked="1"/>
        <c:majorTickMark val="out"/>
        <c:minorTickMark val="none"/>
        <c:tickLblPos val="nextTo"/>
        <c:crossAx val="6769318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Sheet6!$A$35</c:f>
              <c:strCache>
                <c:ptCount val="1"/>
                <c:pt idx="0">
                  <c:v>Diagnostic Pre-Test</c:v>
                </c:pt>
              </c:strCache>
            </c:strRef>
          </c:tx>
          <c:marker>
            <c:symbol val="none"/>
          </c:marker>
          <c:val>
            <c:numRef>
              <c:f>Sheet6!$A$36:$A$58</c:f>
              <c:numCache>
                <c:formatCode>General</c:formatCode>
                <c:ptCount val="23"/>
                <c:pt idx="0">
                  <c:v>33.200000000000003</c:v>
                </c:pt>
                <c:pt idx="1">
                  <c:v>35</c:v>
                </c:pt>
                <c:pt idx="2">
                  <c:v>31.8</c:v>
                </c:pt>
                <c:pt idx="3">
                  <c:v>17.100000000000001</c:v>
                </c:pt>
                <c:pt idx="4">
                  <c:v>10.7</c:v>
                </c:pt>
                <c:pt idx="5">
                  <c:v>38.200000000000003</c:v>
                </c:pt>
                <c:pt idx="6">
                  <c:v>22.5</c:v>
                </c:pt>
                <c:pt idx="7">
                  <c:v>36.800000000000004</c:v>
                </c:pt>
                <c:pt idx="8">
                  <c:v>18.2</c:v>
                </c:pt>
                <c:pt idx="9">
                  <c:v>36.1</c:v>
                </c:pt>
                <c:pt idx="10">
                  <c:v>28.6</c:v>
                </c:pt>
                <c:pt idx="11">
                  <c:v>31.4</c:v>
                </c:pt>
                <c:pt idx="12">
                  <c:v>20.399999999999999</c:v>
                </c:pt>
                <c:pt idx="13">
                  <c:v>21.8</c:v>
                </c:pt>
                <c:pt idx="14">
                  <c:v>24.4</c:v>
                </c:pt>
                <c:pt idx="15">
                  <c:v>31.4</c:v>
                </c:pt>
                <c:pt idx="16">
                  <c:v>41.1</c:v>
                </c:pt>
                <c:pt idx="17">
                  <c:v>17.100000000000001</c:v>
                </c:pt>
                <c:pt idx="18">
                  <c:v>19.600000000000001</c:v>
                </c:pt>
                <c:pt idx="19">
                  <c:v>43.6</c:v>
                </c:pt>
                <c:pt idx="20">
                  <c:v>17.899999999999999</c:v>
                </c:pt>
                <c:pt idx="21">
                  <c:v>44.3</c:v>
                </c:pt>
                <c:pt idx="22">
                  <c:v>13.2</c:v>
                </c:pt>
              </c:numCache>
            </c:numRef>
          </c:val>
          <c:smooth val="0"/>
        </c:ser>
        <c:ser>
          <c:idx val="1"/>
          <c:order val="1"/>
          <c:tx>
            <c:strRef>
              <c:f>Sheet6!$B$35</c:f>
              <c:strCache>
                <c:ptCount val="1"/>
                <c:pt idx="0">
                  <c:v>Diagnostic Post-Test</c:v>
                </c:pt>
              </c:strCache>
            </c:strRef>
          </c:tx>
          <c:marker>
            <c:symbol val="none"/>
          </c:marker>
          <c:val>
            <c:numRef>
              <c:f>Sheet6!$B$36:$B$58</c:f>
              <c:numCache>
                <c:formatCode>General</c:formatCode>
                <c:ptCount val="23"/>
                <c:pt idx="0">
                  <c:v>57.6</c:v>
                </c:pt>
                <c:pt idx="1">
                  <c:v>81.900000000000006</c:v>
                </c:pt>
                <c:pt idx="2">
                  <c:v>57.2</c:v>
                </c:pt>
                <c:pt idx="3">
                  <c:v>60.5</c:v>
                </c:pt>
                <c:pt idx="4">
                  <c:v>39.5</c:v>
                </c:pt>
                <c:pt idx="5">
                  <c:v>64.5</c:v>
                </c:pt>
                <c:pt idx="6">
                  <c:v>68.5</c:v>
                </c:pt>
                <c:pt idx="7">
                  <c:v>70.3</c:v>
                </c:pt>
                <c:pt idx="8">
                  <c:v>32.200000000000003</c:v>
                </c:pt>
                <c:pt idx="9">
                  <c:v>81.900000000000006</c:v>
                </c:pt>
                <c:pt idx="10">
                  <c:v>47.8</c:v>
                </c:pt>
                <c:pt idx="11">
                  <c:v>69.2</c:v>
                </c:pt>
                <c:pt idx="12">
                  <c:v>83.3</c:v>
                </c:pt>
                <c:pt idx="13">
                  <c:v>52.9</c:v>
                </c:pt>
                <c:pt idx="14">
                  <c:v>64.900000000000006</c:v>
                </c:pt>
                <c:pt idx="15">
                  <c:v>36.200000000000003</c:v>
                </c:pt>
                <c:pt idx="16">
                  <c:v>64.900000000000006</c:v>
                </c:pt>
                <c:pt idx="17">
                  <c:v>42.8</c:v>
                </c:pt>
                <c:pt idx="18">
                  <c:v>26.8</c:v>
                </c:pt>
                <c:pt idx="19">
                  <c:v>86.7</c:v>
                </c:pt>
                <c:pt idx="20">
                  <c:v>47.8</c:v>
                </c:pt>
                <c:pt idx="21">
                  <c:v>65.2</c:v>
                </c:pt>
                <c:pt idx="22">
                  <c:v>35.9</c:v>
                </c:pt>
              </c:numCache>
            </c:numRef>
          </c:val>
          <c:smooth val="0"/>
        </c:ser>
        <c:ser>
          <c:idx val="2"/>
          <c:order val="2"/>
          <c:tx>
            <c:strRef>
              <c:f>Sheet6!$C$35</c:f>
              <c:strCache>
                <c:ptCount val="1"/>
                <c:pt idx="0">
                  <c:v>Average Pre-test</c:v>
                </c:pt>
              </c:strCache>
            </c:strRef>
          </c:tx>
          <c:marker>
            <c:symbol val="none"/>
          </c:marker>
          <c:val>
            <c:numRef>
              <c:f>Sheet6!$C$36:$C$58</c:f>
              <c:numCache>
                <c:formatCode>General</c:formatCode>
                <c:ptCount val="23"/>
                <c:pt idx="0">
                  <c:v>27.6</c:v>
                </c:pt>
                <c:pt idx="1">
                  <c:v>27.6</c:v>
                </c:pt>
                <c:pt idx="2">
                  <c:v>27.6</c:v>
                </c:pt>
                <c:pt idx="3">
                  <c:v>27.6</c:v>
                </c:pt>
                <c:pt idx="4">
                  <c:v>27.6</c:v>
                </c:pt>
                <c:pt idx="5">
                  <c:v>27.6</c:v>
                </c:pt>
                <c:pt idx="6">
                  <c:v>27.6</c:v>
                </c:pt>
                <c:pt idx="7">
                  <c:v>27.6</c:v>
                </c:pt>
                <c:pt idx="8">
                  <c:v>27.6</c:v>
                </c:pt>
                <c:pt idx="9">
                  <c:v>27.6</c:v>
                </c:pt>
                <c:pt idx="10">
                  <c:v>27.6</c:v>
                </c:pt>
                <c:pt idx="11">
                  <c:v>27.6</c:v>
                </c:pt>
                <c:pt idx="12">
                  <c:v>27.6</c:v>
                </c:pt>
                <c:pt idx="13">
                  <c:v>27.6</c:v>
                </c:pt>
                <c:pt idx="14">
                  <c:v>27.6</c:v>
                </c:pt>
                <c:pt idx="15">
                  <c:v>27.6</c:v>
                </c:pt>
                <c:pt idx="16">
                  <c:v>27.6</c:v>
                </c:pt>
                <c:pt idx="17">
                  <c:v>27.6</c:v>
                </c:pt>
                <c:pt idx="18">
                  <c:v>27.6</c:v>
                </c:pt>
                <c:pt idx="19">
                  <c:v>27.6</c:v>
                </c:pt>
                <c:pt idx="20">
                  <c:v>27.6</c:v>
                </c:pt>
                <c:pt idx="21">
                  <c:v>27.6</c:v>
                </c:pt>
                <c:pt idx="22">
                  <c:v>27.6</c:v>
                </c:pt>
              </c:numCache>
            </c:numRef>
          </c:val>
          <c:smooth val="0"/>
        </c:ser>
        <c:ser>
          <c:idx val="3"/>
          <c:order val="3"/>
          <c:tx>
            <c:strRef>
              <c:f>Sheet6!$D$35</c:f>
              <c:strCache>
                <c:ptCount val="1"/>
                <c:pt idx="0">
                  <c:v>Average Post-Test</c:v>
                </c:pt>
              </c:strCache>
            </c:strRef>
          </c:tx>
          <c:marker>
            <c:symbol val="none"/>
          </c:marker>
          <c:val>
            <c:numRef>
              <c:f>Sheet6!$D$36:$D$58</c:f>
              <c:numCache>
                <c:formatCode>General</c:formatCode>
                <c:ptCount val="23"/>
                <c:pt idx="0">
                  <c:v>58.2</c:v>
                </c:pt>
                <c:pt idx="1">
                  <c:v>58.2</c:v>
                </c:pt>
                <c:pt idx="2">
                  <c:v>58.2</c:v>
                </c:pt>
                <c:pt idx="3">
                  <c:v>58.2</c:v>
                </c:pt>
                <c:pt idx="4">
                  <c:v>58.2</c:v>
                </c:pt>
                <c:pt idx="5">
                  <c:v>58.2</c:v>
                </c:pt>
                <c:pt idx="6">
                  <c:v>58.2</c:v>
                </c:pt>
                <c:pt idx="7">
                  <c:v>58.2</c:v>
                </c:pt>
                <c:pt idx="8">
                  <c:v>58.2</c:v>
                </c:pt>
                <c:pt idx="9">
                  <c:v>58.2</c:v>
                </c:pt>
                <c:pt idx="10">
                  <c:v>58.2</c:v>
                </c:pt>
                <c:pt idx="11">
                  <c:v>58.2</c:v>
                </c:pt>
                <c:pt idx="12">
                  <c:v>58.2</c:v>
                </c:pt>
                <c:pt idx="13">
                  <c:v>58.2</c:v>
                </c:pt>
                <c:pt idx="14">
                  <c:v>58.2</c:v>
                </c:pt>
                <c:pt idx="15">
                  <c:v>58.2</c:v>
                </c:pt>
                <c:pt idx="16">
                  <c:v>58.2</c:v>
                </c:pt>
                <c:pt idx="17">
                  <c:v>58.2</c:v>
                </c:pt>
                <c:pt idx="18">
                  <c:v>58.2</c:v>
                </c:pt>
                <c:pt idx="19">
                  <c:v>58.2</c:v>
                </c:pt>
                <c:pt idx="20">
                  <c:v>58.2</c:v>
                </c:pt>
                <c:pt idx="21">
                  <c:v>58.2</c:v>
                </c:pt>
                <c:pt idx="22">
                  <c:v>58.2</c:v>
                </c:pt>
              </c:numCache>
            </c:numRef>
          </c:val>
          <c:smooth val="0"/>
        </c:ser>
        <c:dLbls>
          <c:showLegendKey val="0"/>
          <c:showVal val="0"/>
          <c:showCatName val="0"/>
          <c:showSerName val="0"/>
          <c:showPercent val="0"/>
          <c:showBubbleSize val="0"/>
        </c:dLbls>
        <c:marker val="1"/>
        <c:smooth val="0"/>
        <c:axId val="67742720"/>
        <c:axId val="67757184"/>
      </c:lineChart>
      <c:catAx>
        <c:axId val="67742720"/>
        <c:scaling>
          <c:orientation val="minMax"/>
        </c:scaling>
        <c:delete val="0"/>
        <c:axPos val="b"/>
        <c:title>
          <c:tx>
            <c:rich>
              <a:bodyPr/>
              <a:lstStyle/>
              <a:p>
                <a:pPr>
                  <a:defRPr/>
                </a:pPr>
                <a:r>
                  <a:rPr lang="en-US"/>
                  <a:t>Students</a:t>
                </a:r>
              </a:p>
            </c:rich>
          </c:tx>
          <c:overlay val="0"/>
        </c:title>
        <c:majorTickMark val="out"/>
        <c:minorTickMark val="none"/>
        <c:tickLblPos val="nextTo"/>
        <c:crossAx val="67757184"/>
        <c:crosses val="autoZero"/>
        <c:auto val="1"/>
        <c:lblAlgn val="ctr"/>
        <c:lblOffset val="100"/>
        <c:noMultiLvlLbl val="0"/>
      </c:catAx>
      <c:valAx>
        <c:axId val="67757184"/>
        <c:scaling>
          <c:orientation val="minMax"/>
        </c:scaling>
        <c:delete val="0"/>
        <c:axPos val="l"/>
        <c:majorGridlines/>
        <c:title>
          <c:tx>
            <c:rich>
              <a:bodyPr rot="-5400000" vert="horz"/>
              <a:lstStyle/>
              <a:p>
                <a:pPr>
                  <a:defRPr/>
                </a:pPr>
                <a:r>
                  <a:rPr lang="en-US"/>
                  <a:t>Grades</a:t>
                </a:r>
                <a:r>
                  <a:rPr lang="en-US" baseline="0"/>
                  <a:t> as a Percentage (%)</a:t>
                </a:r>
                <a:endParaRPr lang="en-US"/>
              </a:p>
            </c:rich>
          </c:tx>
          <c:overlay val="0"/>
        </c:title>
        <c:numFmt formatCode="General" sourceLinked="1"/>
        <c:majorTickMark val="out"/>
        <c:minorTickMark val="none"/>
        <c:tickLblPos val="nextTo"/>
        <c:crossAx val="6774272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Grade Distribution of All Students That Registered for Math 108 - Fall 2012 Semester</c:v>
          </c:tx>
          <c:dLbls>
            <c:showLegendKey val="0"/>
            <c:showVal val="0"/>
            <c:showCatName val="1"/>
            <c:showSerName val="0"/>
            <c:showPercent val="1"/>
            <c:showBubbleSize val="0"/>
            <c:showLeaderLines val="1"/>
          </c:dLbls>
          <c:cat>
            <c:strRef>
              <c:f>Sheet4!$C$1:$C$6</c:f>
              <c:strCache>
                <c:ptCount val="6"/>
                <c:pt idx="0">
                  <c:v>A</c:v>
                </c:pt>
                <c:pt idx="1">
                  <c:v>B</c:v>
                </c:pt>
                <c:pt idx="2">
                  <c:v>C</c:v>
                </c:pt>
                <c:pt idx="3">
                  <c:v>D</c:v>
                </c:pt>
                <c:pt idx="4">
                  <c:v>F</c:v>
                </c:pt>
                <c:pt idx="5">
                  <c:v>W</c:v>
                </c:pt>
              </c:strCache>
            </c:strRef>
          </c:cat>
          <c:val>
            <c:numRef>
              <c:f>Sheet4!$D$1:$D$6</c:f>
              <c:numCache>
                <c:formatCode>General</c:formatCode>
                <c:ptCount val="6"/>
                <c:pt idx="0">
                  <c:v>18</c:v>
                </c:pt>
                <c:pt idx="1">
                  <c:v>23</c:v>
                </c:pt>
                <c:pt idx="2">
                  <c:v>19</c:v>
                </c:pt>
                <c:pt idx="3">
                  <c:v>14</c:v>
                </c:pt>
                <c:pt idx="4">
                  <c:v>13</c:v>
                </c:pt>
                <c:pt idx="5">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Math 108 Student Prerequisities</c:v>
          </c:tx>
          <c:dLbls>
            <c:showLegendKey val="0"/>
            <c:showVal val="0"/>
            <c:showCatName val="1"/>
            <c:showSerName val="0"/>
            <c:showPercent val="1"/>
            <c:showBubbleSize val="0"/>
            <c:showLeaderLines val="1"/>
          </c:dLbls>
          <c:cat>
            <c:strRef>
              <c:f>Sheet1!$M$3:$M$8</c:f>
              <c:strCache>
                <c:ptCount val="6"/>
                <c:pt idx="0">
                  <c:v>Math 101S</c:v>
                </c:pt>
                <c:pt idx="1">
                  <c:v>Placement</c:v>
                </c:pt>
                <c:pt idx="2">
                  <c:v>No Score</c:v>
                </c:pt>
                <c:pt idx="3">
                  <c:v>Repeat</c:v>
                </c:pt>
                <c:pt idx="4">
                  <c:v>Transfer</c:v>
                </c:pt>
                <c:pt idx="5">
                  <c:v>Misplaced</c:v>
                </c:pt>
              </c:strCache>
            </c:strRef>
          </c:cat>
          <c:val>
            <c:numRef>
              <c:f>Sheet1!$N$3:$N$8</c:f>
              <c:numCache>
                <c:formatCode>General</c:formatCode>
                <c:ptCount val="6"/>
                <c:pt idx="0">
                  <c:v>28</c:v>
                </c:pt>
                <c:pt idx="1">
                  <c:v>33</c:v>
                </c:pt>
                <c:pt idx="2">
                  <c:v>2</c:v>
                </c:pt>
                <c:pt idx="3">
                  <c:v>4</c:v>
                </c:pt>
                <c:pt idx="4">
                  <c:v>13</c:v>
                </c:pt>
                <c:pt idx="5">
                  <c:v>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Overall - Math 108</c:v>
          </c:tx>
          <c:dLbls>
            <c:dLbl>
              <c:idx val="2"/>
              <c:layout>
                <c:manualLayout>
                  <c:x val="-0.35975850203711135"/>
                  <c:y val="7.170239136774571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Sheet5!$S$36:$S$38</c:f>
              <c:strCache>
                <c:ptCount val="3"/>
                <c:pt idx="0">
                  <c:v>Pass</c:v>
                </c:pt>
                <c:pt idx="1">
                  <c:v>Fail</c:v>
                </c:pt>
                <c:pt idx="2">
                  <c:v>Withdrew</c:v>
                </c:pt>
              </c:strCache>
            </c:strRef>
          </c:cat>
          <c:val>
            <c:numRef>
              <c:f>Sheet5!$T$36:$T$38</c:f>
              <c:numCache>
                <c:formatCode>General</c:formatCode>
                <c:ptCount val="3"/>
                <c:pt idx="0">
                  <c:v>74</c:v>
                </c:pt>
                <c:pt idx="1">
                  <c:v>13</c:v>
                </c:pt>
                <c:pt idx="2">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A</c:v>
          </c:tx>
          <c:dLbls>
            <c:showLegendKey val="0"/>
            <c:showVal val="0"/>
            <c:showCatName val="1"/>
            <c:showSerName val="0"/>
            <c:showPercent val="1"/>
            <c:showBubbleSize val="0"/>
            <c:showLeaderLines val="1"/>
          </c:dLbls>
          <c:cat>
            <c:strRef>
              <c:f>Sheet5!$C$1:$C$3</c:f>
              <c:strCache>
                <c:ptCount val="3"/>
                <c:pt idx="0">
                  <c:v>Pass</c:v>
                </c:pt>
                <c:pt idx="1">
                  <c:v>Fail</c:v>
                </c:pt>
                <c:pt idx="2">
                  <c:v>Withdrew</c:v>
                </c:pt>
              </c:strCache>
            </c:strRef>
          </c:cat>
          <c:val>
            <c:numRef>
              <c:f>Sheet5!$D$1:$D$3</c:f>
              <c:numCache>
                <c:formatCode>General</c:formatCode>
                <c:ptCount val="3"/>
                <c:pt idx="0">
                  <c:v>24</c:v>
                </c:pt>
                <c:pt idx="1">
                  <c:v>4</c:v>
                </c:pt>
                <c:pt idx="2">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Grade Distributionof all Students That Registered for Math 101S - Fall 2012 Semester</a:t>
            </a:r>
          </a:p>
        </c:rich>
      </c:tx>
      <c:overlay val="0"/>
    </c:title>
    <c:autoTitleDeleted val="0"/>
    <c:plotArea>
      <c:layout/>
      <c:pieChart>
        <c:varyColors val="1"/>
        <c:ser>
          <c:idx val="0"/>
          <c:order val="0"/>
          <c:tx>
            <c:v>Grade Distribution</c:v>
          </c:tx>
          <c:dLbls>
            <c:showLegendKey val="0"/>
            <c:showVal val="0"/>
            <c:showCatName val="1"/>
            <c:showSerName val="0"/>
            <c:showPercent val="1"/>
            <c:showBubbleSize val="0"/>
            <c:showLeaderLines val="1"/>
          </c:dLbls>
          <c:cat>
            <c:strRef>
              <c:f>Sheet1!$E$18:$E$23</c:f>
              <c:strCache>
                <c:ptCount val="6"/>
                <c:pt idx="0">
                  <c:v>A</c:v>
                </c:pt>
                <c:pt idx="1">
                  <c:v>B</c:v>
                </c:pt>
                <c:pt idx="2">
                  <c:v>C</c:v>
                </c:pt>
                <c:pt idx="3">
                  <c:v>F</c:v>
                </c:pt>
                <c:pt idx="4">
                  <c:v>FQ</c:v>
                </c:pt>
                <c:pt idx="5">
                  <c:v>W</c:v>
                </c:pt>
              </c:strCache>
            </c:strRef>
          </c:cat>
          <c:val>
            <c:numRef>
              <c:f>Sheet1!$F$18:$F$23</c:f>
              <c:numCache>
                <c:formatCode>General</c:formatCode>
                <c:ptCount val="6"/>
                <c:pt idx="0">
                  <c:v>19</c:v>
                </c:pt>
                <c:pt idx="1">
                  <c:v>51</c:v>
                </c:pt>
                <c:pt idx="2">
                  <c:v>31</c:v>
                </c:pt>
                <c:pt idx="3">
                  <c:v>15</c:v>
                </c:pt>
                <c:pt idx="4">
                  <c:v>42</c:v>
                </c:pt>
                <c:pt idx="5">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C</c:v>
          </c:tx>
          <c:dLbls>
            <c:dLbl>
              <c:idx val="2"/>
              <c:layout>
                <c:manualLayout>
                  <c:x val="-0.27272876401813412"/>
                  <c:y val="7.230761554045288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Sheet5!$T$1:$T$3</c:f>
              <c:strCache>
                <c:ptCount val="3"/>
                <c:pt idx="0">
                  <c:v>Pass</c:v>
                </c:pt>
                <c:pt idx="1">
                  <c:v>Fail</c:v>
                </c:pt>
                <c:pt idx="2">
                  <c:v>Withdrew</c:v>
                </c:pt>
              </c:strCache>
            </c:strRef>
          </c:cat>
          <c:val>
            <c:numRef>
              <c:f>Sheet5!$U$1:$U$3</c:f>
              <c:numCache>
                <c:formatCode>General</c:formatCode>
                <c:ptCount val="3"/>
                <c:pt idx="0">
                  <c:v>15</c:v>
                </c:pt>
                <c:pt idx="1">
                  <c:v>2</c:v>
                </c:pt>
                <c:pt idx="2">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B</c:v>
          </c:tx>
          <c:dLbls>
            <c:dLbl>
              <c:idx val="2"/>
              <c:layout>
                <c:manualLayout>
                  <c:x val="-0.26319388337327398"/>
                  <c:y val="7.9684240990788704E-2"/>
                </c:manualLayout>
              </c:layout>
              <c:tx>
                <c:rich>
                  <a:bodyPr/>
                  <a:lstStyle/>
                  <a:p>
                    <a:r>
                      <a:rPr lang="en-US"/>
                      <a:t>Withdrew
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Sheet5!$L$1:$L$3</c:f>
              <c:strCache>
                <c:ptCount val="3"/>
                <c:pt idx="0">
                  <c:v>Pass</c:v>
                </c:pt>
                <c:pt idx="1">
                  <c:v>Fail</c:v>
                </c:pt>
                <c:pt idx="2">
                  <c:v>Withdrrew</c:v>
                </c:pt>
              </c:strCache>
            </c:strRef>
          </c:cat>
          <c:val>
            <c:numRef>
              <c:f>Sheet5!$M$1:$M$3</c:f>
              <c:numCache>
                <c:formatCode>General</c:formatCode>
                <c:ptCount val="3"/>
                <c:pt idx="0">
                  <c:v>35</c:v>
                </c:pt>
                <c:pt idx="1">
                  <c:v>6</c:v>
                </c:pt>
                <c:pt idx="2">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Sheet7!$A$3</c:f>
              <c:strCache>
                <c:ptCount val="1"/>
                <c:pt idx="0">
                  <c:v>Passed</c:v>
                </c:pt>
              </c:strCache>
            </c:strRef>
          </c:tx>
          <c:invertIfNegative val="0"/>
          <c:cat>
            <c:strRef>
              <c:f>Sheet7!$B$2:$E$2</c:f>
              <c:strCache>
                <c:ptCount val="4"/>
                <c:pt idx="0">
                  <c:v>Fall - 09</c:v>
                </c:pt>
                <c:pt idx="1">
                  <c:v>Fall - 10</c:v>
                </c:pt>
                <c:pt idx="2">
                  <c:v>Fall - 11</c:v>
                </c:pt>
                <c:pt idx="3">
                  <c:v>Fall - 12</c:v>
                </c:pt>
              </c:strCache>
            </c:strRef>
          </c:cat>
          <c:val>
            <c:numRef>
              <c:f>Sheet7!$B$3:$E$3</c:f>
              <c:numCache>
                <c:formatCode>General</c:formatCode>
                <c:ptCount val="4"/>
                <c:pt idx="0">
                  <c:v>48</c:v>
                </c:pt>
                <c:pt idx="1">
                  <c:v>40</c:v>
                </c:pt>
                <c:pt idx="2">
                  <c:v>39</c:v>
                </c:pt>
                <c:pt idx="3">
                  <c:v>53</c:v>
                </c:pt>
              </c:numCache>
            </c:numRef>
          </c:val>
        </c:ser>
        <c:ser>
          <c:idx val="1"/>
          <c:order val="1"/>
          <c:tx>
            <c:strRef>
              <c:f>Sheet7!$A$4</c:f>
              <c:strCache>
                <c:ptCount val="1"/>
                <c:pt idx="0">
                  <c:v>Failed</c:v>
                </c:pt>
              </c:strCache>
            </c:strRef>
          </c:tx>
          <c:invertIfNegative val="0"/>
          <c:cat>
            <c:strRef>
              <c:f>Sheet7!$B$2:$E$2</c:f>
              <c:strCache>
                <c:ptCount val="4"/>
                <c:pt idx="0">
                  <c:v>Fall - 09</c:v>
                </c:pt>
                <c:pt idx="1">
                  <c:v>Fall - 10</c:v>
                </c:pt>
                <c:pt idx="2">
                  <c:v>Fall - 11</c:v>
                </c:pt>
                <c:pt idx="3">
                  <c:v>Fall - 12</c:v>
                </c:pt>
              </c:strCache>
            </c:strRef>
          </c:cat>
          <c:val>
            <c:numRef>
              <c:f>Sheet7!$B$4:$E$4</c:f>
              <c:numCache>
                <c:formatCode>General</c:formatCode>
                <c:ptCount val="4"/>
                <c:pt idx="0">
                  <c:v>17</c:v>
                </c:pt>
                <c:pt idx="1">
                  <c:v>21</c:v>
                </c:pt>
                <c:pt idx="2">
                  <c:v>24</c:v>
                </c:pt>
                <c:pt idx="3">
                  <c:v>8</c:v>
                </c:pt>
              </c:numCache>
            </c:numRef>
          </c:val>
        </c:ser>
        <c:ser>
          <c:idx val="2"/>
          <c:order val="2"/>
          <c:tx>
            <c:strRef>
              <c:f>Sheet7!$A$5</c:f>
              <c:strCache>
                <c:ptCount val="1"/>
                <c:pt idx="0">
                  <c:v>Quit</c:v>
                </c:pt>
              </c:strCache>
            </c:strRef>
          </c:tx>
          <c:invertIfNegative val="0"/>
          <c:cat>
            <c:strRef>
              <c:f>Sheet7!$B$2:$E$2</c:f>
              <c:strCache>
                <c:ptCount val="4"/>
                <c:pt idx="0">
                  <c:v>Fall - 09</c:v>
                </c:pt>
                <c:pt idx="1">
                  <c:v>Fall - 10</c:v>
                </c:pt>
                <c:pt idx="2">
                  <c:v>Fall - 11</c:v>
                </c:pt>
                <c:pt idx="3">
                  <c:v>Fall - 12</c:v>
                </c:pt>
              </c:strCache>
            </c:strRef>
          </c:cat>
          <c:val>
            <c:numRef>
              <c:f>Sheet7!$B$5:$E$5</c:f>
              <c:numCache>
                <c:formatCode>General</c:formatCode>
                <c:ptCount val="4"/>
                <c:pt idx="0">
                  <c:v>10</c:v>
                </c:pt>
                <c:pt idx="1">
                  <c:v>11</c:v>
                </c:pt>
                <c:pt idx="2">
                  <c:v>11</c:v>
                </c:pt>
                <c:pt idx="3">
                  <c:v>22</c:v>
                </c:pt>
              </c:numCache>
            </c:numRef>
          </c:val>
        </c:ser>
        <c:ser>
          <c:idx val="3"/>
          <c:order val="3"/>
          <c:tx>
            <c:strRef>
              <c:f>Sheet7!$A$6</c:f>
              <c:strCache>
                <c:ptCount val="1"/>
                <c:pt idx="0">
                  <c:v>Withdrawn</c:v>
                </c:pt>
              </c:strCache>
            </c:strRef>
          </c:tx>
          <c:invertIfNegative val="0"/>
          <c:cat>
            <c:strRef>
              <c:f>Sheet7!$B$2:$E$2</c:f>
              <c:strCache>
                <c:ptCount val="4"/>
                <c:pt idx="0">
                  <c:v>Fall - 09</c:v>
                </c:pt>
                <c:pt idx="1">
                  <c:v>Fall - 10</c:v>
                </c:pt>
                <c:pt idx="2">
                  <c:v>Fall - 11</c:v>
                </c:pt>
                <c:pt idx="3">
                  <c:v>Fall - 12</c:v>
                </c:pt>
              </c:strCache>
            </c:strRef>
          </c:cat>
          <c:val>
            <c:numRef>
              <c:f>Sheet7!$B$6:$E$6</c:f>
              <c:numCache>
                <c:formatCode>General</c:formatCode>
                <c:ptCount val="4"/>
                <c:pt idx="0">
                  <c:v>25</c:v>
                </c:pt>
                <c:pt idx="1">
                  <c:v>28</c:v>
                </c:pt>
                <c:pt idx="2">
                  <c:v>26</c:v>
                </c:pt>
                <c:pt idx="3">
                  <c:v>17</c:v>
                </c:pt>
              </c:numCache>
            </c:numRef>
          </c:val>
        </c:ser>
        <c:dLbls>
          <c:showLegendKey val="0"/>
          <c:showVal val="0"/>
          <c:showCatName val="0"/>
          <c:showSerName val="0"/>
          <c:showPercent val="0"/>
          <c:showBubbleSize val="0"/>
        </c:dLbls>
        <c:gapWidth val="150"/>
        <c:axId val="73778304"/>
        <c:axId val="73779840"/>
      </c:barChart>
      <c:catAx>
        <c:axId val="73778304"/>
        <c:scaling>
          <c:orientation val="minMax"/>
        </c:scaling>
        <c:delete val="0"/>
        <c:axPos val="b"/>
        <c:majorTickMark val="out"/>
        <c:minorTickMark val="none"/>
        <c:tickLblPos val="nextTo"/>
        <c:crossAx val="73779840"/>
        <c:crosses val="autoZero"/>
        <c:auto val="1"/>
        <c:lblAlgn val="ctr"/>
        <c:lblOffset val="100"/>
        <c:noMultiLvlLbl val="0"/>
      </c:catAx>
      <c:valAx>
        <c:axId val="73779840"/>
        <c:scaling>
          <c:orientation val="minMax"/>
        </c:scaling>
        <c:delete val="0"/>
        <c:axPos val="l"/>
        <c:majorGridlines/>
        <c:title>
          <c:tx>
            <c:rich>
              <a:bodyPr rot="-5400000" vert="horz"/>
              <a:lstStyle/>
              <a:p>
                <a:pPr>
                  <a:defRPr/>
                </a:pPr>
                <a:r>
                  <a:rPr lang="en-US"/>
                  <a:t>Pass</a:t>
                </a:r>
                <a:r>
                  <a:rPr lang="en-US" baseline="0"/>
                  <a:t> Rate as a Percentage (%)</a:t>
                </a:r>
                <a:endParaRPr lang="en-US"/>
              </a:p>
            </c:rich>
          </c:tx>
          <c:overlay val="0"/>
        </c:title>
        <c:numFmt formatCode="General" sourceLinked="1"/>
        <c:majorTickMark val="out"/>
        <c:minorTickMark val="none"/>
        <c:tickLblPos val="nextTo"/>
        <c:crossAx val="73778304"/>
        <c:crosses val="autoZero"/>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Sheet7!$A$12</c:f>
              <c:strCache>
                <c:ptCount val="1"/>
                <c:pt idx="0">
                  <c:v>Passed</c:v>
                </c:pt>
              </c:strCache>
            </c:strRef>
          </c:tx>
          <c:invertIfNegative val="0"/>
          <c:cat>
            <c:strRef>
              <c:f>Sheet7!$B$11:$E$11</c:f>
              <c:strCache>
                <c:ptCount val="4"/>
                <c:pt idx="0">
                  <c:v>Fall - 09</c:v>
                </c:pt>
                <c:pt idx="1">
                  <c:v>Fall - 10</c:v>
                </c:pt>
                <c:pt idx="2">
                  <c:v>Fall - 11</c:v>
                </c:pt>
                <c:pt idx="3">
                  <c:v>Fall - 12</c:v>
                </c:pt>
              </c:strCache>
            </c:strRef>
          </c:cat>
          <c:val>
            <c:numRef>
              <c:f>Sheet7!$B$12:$E$12</c:f>
              <c:numCache>
                <c:formatCode>General</c:formatCode>
                <c:ptCount val="4"/>
                <c:pt idx="0">
                  <c:v>74</c:v>
                </c:pt>
                <c:pt idx="1">
                  <c:v>65</c:v>
                </c:pt>
                <c:pt idx="2">
                  <c:v>62</c:v>
                </c:pt>
                <c:pt idx="3">
                  <c:v>87</c:v>
                </c:pt>
              </c:numCache>
            </c:numRef>
          </c:val>
        </c:ser>
        <c:ser>
          <c:idx val="1"/>
          <c:order val="1"/>
          <c:tx>
            <c:strRef>
              <c:f>Sheet7!$A$13</c:f>
              <c:strCache>
                <c:ptCount val="1"/>
                <c:pt idx="0">
                  <c:v>Failed</c:v>
                </c:pt>
              </c:strCache>
            </c:strRef>
          </c:tx>
          <c:invertIfNegative val="0"/>
          <c:cat>
            <c:strRef>
              <c:f>Sheet7!$B$11:$E$11</c:f>
              <c:strCache>
                <c:ptCount val="4"/>
                <c:pt idx="0">
                  <c:v>Fall - 09</c:v>
                </c:pt>
                <c:pt idx="1">
                  <c:v>Fall - 10</c:v>
                </c:pt>
                <c:pt idx="2">
                  <c:v>Fall - 11</c:v>
                </c:pt>
                <c:pt idx="3">
                  <c:v>Fall - 12</c:v>
                </c:pt>
              </c:strCache>
            </c:strRef>
          </c:cat>
          <c:val>
            <c:numRef>
              <c:f>Sheet7!$B$13:$E$13</c:f>
              <c:numCache>
                <c:formatCode>General</c:formatCode>
                <c:ptCount val="4"/>
                <c:pt idx="0">
                  <c:v>26</c:v>
                </c:pt>
                <c:pt idx="1">
                  <c:v>35</c:v>
                </c:pt>
                <c:pt idx="2">
                  <c:v>38</c:v>
                </c:pt>
                <c:pt idx="3">
                  <c:v>13</c:v>
                </c:pt>
              </c:numCache>
            </c:numRef>
          </c:val>
        </c:ser>
        <c:dLbls>
          <c:showLegendKey val="0"/>
          <c:showVal val="0"/>
          <c:showCatName val="0"/>
          <c:showSerName val="0"/>
          <c:showPercent val="0"/>
          <c:showBubbleSize val="0"/>
        </c:dLbls>
        <c:gapWidth val="150"/>
        <c:axId val="73862528"/>
        <c:axId val="73868416"/>
      </c:barChart>
      <c:catAx>
        <c:axId val="73862528"/>
        <c:scaling>
          <c:orientation val="minMax"/>
        </c:scaling>
        <c:delete val="0"/>
        <c:axPos val="b"/>
        <c:majorTickMark val="out"/>
        <c:minorTickMark val="none"/>
        <c:tickLblPos val="nextTo"/>
        <c:crossAx val="73868416"/>
        <c:crosses val="autoZero"/>
        <c:auto val="1"/>
        <c:lblAlgn val="ctr"/>
        <c:lblOffset val="100"/>
        <c:noMultiLvlLbl val="0"/>
      </c:catAx>
      <c:valAx>
        <c:axId val="73868416"/>
        <c:scaling>
          <c:orientation val="minMax"/>
        </c:scaling>
        <c:delete val="0"/>
        <c:axPos val="l"/>
        <c:majorGridlines/>
        <c:title>
          <c:tx>
            <c:rich>
              <a:bodyPr rot="-5400000" vert="horz"/>
              <a:lstStyle/>
              <a:p>
                <a:pPr>
                  <a:defRPr/>
                </a:pPr>
                <a:r>
                  <a:rPr lang="en-US"/>
                  <a:t>Pass</a:t>
                </a:r>
                <a:r>
                  <a:rPr lang="en-US" baseline="0"/>
                  <a:t> Rate as a Percentage (%)</a:t>
                </a:r>
                <a:endParaRPr lang="en-US"/>
              </a:p>
            </c:rich>
          </c:tx>
          <c:overlay val="0"/>
        </c:title>
        <c:numFmt formatCode="General" sourceLinked="1"/>
        <c:majorTickMark val="out"/>
        <c:minorTickMark val="none"/>
        <c:tickLblPos val="nextTo"/>
        <c:crossAx val="73862528"/>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Math 123 - Fall 2012</c:v>
          </c:tx>
          <c:dLbls>
            <c:showLegendKey val="0"/>
            <c:showVal val="0"/>
            <c:showCatName val="1"/>
            <c:showSerName val="0"/>
            <c:showPercent val="1"/>
            <c:showBubbleSize val="0"/>
            <c:showLeaderLines val="1"/>
          </c:dLbls>
          <c:cat>
            <c:strRef>
              <c:f>Sheet3!$E$26:$E$28</c:f>
              <c:strCache>
                <c:ptCount val="3"/>
                <c:pt idx="0">
                  <c:v>Pass</c:v>
                </c:pt>
                <c:pt idx="1">
                  <c:v>Failed</c:v>
                </c:pt>
                <c:pt idx="2">
                  <c:v>Withdrew</c:v>
                </c:pt>
              </c:strCache>
            </c:strRef>
          </c:cat>
          <c:val>
            <c:numRef>
              <c:f>Sheet3!$F$26:$F$28</c:f>
              <c:numCache>
                <c:formatCode>General</c:formatCode>
                <c:ptCount val="3"/>
                <c:pt idx="0">
                  <c:v>16</c:v>
                </c:pt>
                <c:pt idx="1">
                  <c:v>2</c:v>
                </c:pt>
                <c:pt idx="2">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Math 123 - Prerequisities</c:v>
          </c:tx>
          <c:dLbls>
            <c:showLegendKey val="0"/>
            <c:showVal val="0"/>
            <c:showCatName val="1"/>
            <c:showSerName val="0"/>
            <c:showPercent val="1"/>
            <c:showBubbleSize val="0"/>
            <c:showLeaderLines val="1"/>
          </c:dLbls>
          <c:cat>
            <c:strRef>
              <c:f>Sheet3!$P$3:$P$7</c:f>
              <c:strCache>
                <c:ptCount val="5"/>
                <c:pt idx="0">
                  <c:v>Math 102</c:v>
                </c:pt>
                <c:pt idx="1">
                  <c:v>Place</c:v>
                </c:pt>
                <c:pt idx="2">
                  <c:v>Trans</c:v>
                </c:pt>
                <c:pt idx="3">
                  <c:v>Repeat</c:v>
                </c:pt>
                <c:pt idx="4">
                  <c:v>Misplaced</c:v>
                </c:pt>
              </c:strCache>
            </c:strRef>
          </c:cat>
          <c:val>
            <c:numRef>
              <c:f>Sheet3!$Q$3:$Q$7</c:f>
              <c:numCache>
                <c:formatCode>General</c:formatCode>
                <c:ptCount val="5"/>
                <c:pt idx="0">
                  <c:v>10</c:v>
                </c:pt>
                <c:pt idx="1">
                  <c:v>4</c:v>
                </c:pt>
                <c:pt idx="2">
                  <c:v>2</c:v>
                </c:pt>
                <c:pt idx="3">
                  <c:v>1</c:v>
                </c:pt>
                <c:pt idx="4">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Students That Took the Final Exam</c:v>
          </c:tx>
          <c:dLbls>
            <c:showLegendKey val="0"/>
            <c:showVal val="0"/>
            <c:showCatName val="1"/>
            <c:showSerName val="0"/>
            <c:showPercent val="1"/>
            <c:showBubbleSize val="0"/>
            <c:showLeaderLines val="1"/>
          </c:dLbls>
          <c:cat>
            <c:strRef>
              <c:f>Sheet1!$E$18:$E$21</c:f>
              <c:strCache>
                <c:ptCount val="4"/>
                <c:pt idx="0">
                  <c:v>A</c:v>
                </c:pt>
                <c:pt idx="1">
                  <c:v>B</c:v>
                </c:pt>
                <c:pt idx="2">
                  <c:v>C</c:v>
                </c:pt>
                <c:pt idx="3">
                  <c:v>F</c:v>
                </c:pt>
              </c:strCache>
            </c:strRef>
          </c:cat>
          <c:val>
            <c:numRef>
              <c:f>Sheet1!$F$18:$F$21</c:f>
              <c:numCache>
                <c:formatCode>General</c:formatCode>
                <c:ptCount val="4"/>
                <c:pt idx="0">
                  <c:v>19</c:v>
                </c:pt>
                <c:pt idx="1">
                  <c:v>51</c:v>
                </c:pt>
                <c:pt idx="2">
                  <c:v>31</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1"/>
          </c:dLbls>
          <c:cat>
            <c:strRef>
              <c:f>Sheet2!$J$5:$J$6</c:f>
              <c:strCache>
                <c:ptCount val="2"/>
                <c:pt idx="0">
                  <c:v>Registered</c:v>
                </c:pt>
                <c:pt idx="1">
                  <c:v>Not Registered</c:v>
                </c:pt>
              </c:strCache>
            </c:strRef>
          </c:cat>
          <c:val>
            <c:numRef>
              <c:f>Sheet2!$K$5:$K$6</c:f>
              <c:numCache>
                <c:formatCode>General</c:formatCode>
                <c:ptCount val="2"/>
                <c:pt idx="0">
                  <c:v>161</c:v>
                </c:pt>
                <c:pt idx="1">
                  <c:v>30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1"/>
          </c:dLbls>
          <c:cat>
            <c:strRef>
              <c:f>Sheet2!$U$5:$U$6</c:f>
              <c:strCache>
                <c:ptCount val="2"/>
                <c:pt idx="0">
                  <c:v>Enrolled in Math 101S</c:v>
                </c:pt>
                <c:pt idx="1">
                  <c:v>Not enrolled in Math 101S</c:v>
                </c:pt>
              </c:strCache>
            </c:strRef>
          </c:cat>
          <c:val>
            <c:numRef>
              <c:f>Sheet2!$V$5:$V$6</c:f>
              <c:numCache>
                <c:formatCode>General</c:formatCode>
                <c:ptCount val="2"/>
                <c:pt idx="0">
                  <c:v>171</c:v>
                </c:pt>
                <c:pt idx="1">
                  <c:v>88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Sheet9!$A$1</c:f>
              <c:strCache>
                <c:ptCount val="1"/>
                <c:pt idx="0">
                  <c:v>Overall Final Grade</c:v>
                </c:pt>
              </c:strCache>
            </c:strRef>
          </c:tx>
          <c:marker>
            <c:symbol val="none"/>
          </c:marker>
          <c:val>
            <c:numRef>
              <c:f>Sheet9!$A$2:$A$118</c:f>
              <c:numCache>
                <c:formatCode>General</c:formatCode>
                <c:ptCount val="117"/>
                <c:pt idx="0">
                  <c:v>96.7</c:v>
                </c:pt>
                <c:pt idx="1">
                  <c:v>83</c:v>
                </c:pt>
                <c:pt idx="2">
                  <c:v>81.099999999999994</c:v>
                </c:pt>
                <c:pt idx="3">
                  <c:v>80.2</c:v>
                </c:pt>
                <c:pt idx="4">
                  <c:v>74.2</c:v>
                </c:pt>
                <c:pt idx="5">
                  <c:v>88.9</c:v>
                </c:pt>
                <c:pt idx="6">
                  <c:v>60</c:v>
                </c:pt>
                <c:pt idx="7">
                  <c:v>73.400000000000006</c:v>
                </c:pt>
                <c:pt idx="8">
                  <c:v>87.4</c:v>
                </c:pt>
                <c:pt idx="9">
                  <c:v>80.7</c:v>
                </c:pt>
                <c:pt idx="10">
                  <c:v>64.599999999999994</c:v>
                </c:pt>
                <c:pt idx="11">
                  <c:v>76.099999999999994</c:v>
                </c:pt>
                <c:pt idx="12">
                  <c:v>89.7</c:v>
                </c:pt>
                <c:pt idx="13">
                  <c:v>86.4</c:v>
                </c:pt>
                <c:pt idx="14">
                  <c:v>75.099999999999994</c:v>
                </c:pt>
                <c:pt idx="15">
                  <c:v>79.900000000000006</c:v>
                </c:pt>
                <c:pt idx="16">
                  <c:v>92.6</c:v>
                </c:pt>
                <c:pt idx="17">
                  <c:v>81.099999999999994</c:v>
                </c:pt>
                <c:pt idx="18">
                  <c:v>88.7</c:v>
                </c:pt>
                <c:pt idx="19">
                  <c:v>80.7</c:v>
                </c:pt>
                <c:pt idx="20">
                  <c:v>86.9</c:v>
                </c:pt>
                <c:pt idx="21">
                  <c:v>79.599999999999994</c:v>
                </c:pt>
                <c:pt idx="22">
                  <c:v>73.599999999999994</c:v>
                </c:pt>
                <c:pt idx="23">
                  <c:v>82.1</c:v>
                </c:pt>
                <c:pt idx="24">
                  <c:v>82.5</c:v>
                </c:pt>
                <c:pt idx="25">
                  <c:v>70.7</c:v>
                </c:pt>
                <c:pt idx="26">
                  <c:v>85.4</c:v>
                </c:pt>
                <c:pt idx="27">
                  <c:v>83.5</c:v>
                </c:pt>
                <c:pt idx="28">
                  <c:v>74.8</c:v>
                </c:pt>
                <c:pt idx="29">
                  <c:v>81.400000000000006</c:v>
                </c:pt>
                <c:pt idx="30">
                  <c:v>72.3</c:v>
                </c:pt>
                <c:pt idx="31">
                  <c:v>71.900000000000006</c:v>
                </c:pt>
                <c:pt idx="32">
                  <c:v>90.6</c:v>
                </c:pt>
                <c:pt idx="33">
                  <c:v>67.7</c:v>
                </c:pt>
                <c:pt idx="34">
                  <c:v>95.6</c:v>
                </c:pt>
                <c:pt idx="35">
                  <c:v>89.3</c:v>
                </c:pt>
                <c:pt idx="36">
                  <c:v>91.1</c:v>
                </c:pt>
                <c:pt idx="37">
                  <c:v>76</c:v>
                </c:pt>
                <c:pt idx="38">
                  <c:v>74.099999999999994</c:v>
                </c:pt>
                <c:pt idx="39">
                  <c:v>85</c:v>
                </c:pt>
                <c:pt idx="40">
                  <c:v>78.5</c:v>
                </c:pt>
                <c:pt idx="41">
                  <c:v>74.599999999999994</c:v>
                </c:pt>
                <c:pt idx="42">
                  <c:v>82.6</c:v>
                </c:pt>
                <c:pt idx="43">
                  <c:v>77.400000000000006</c:v>
                </c:pt>
                <c:pt idx="44">
                  <c:v>86.1</c:v>
                </c:pt>
                <c:pt idx="45">
                  <c:v>72.5</c:v>
                </c:pt>
                <c:pt idx="46">
                  <c:v>83.9</c:v>
                </c:pt>
                <c:pt idx="47">
                  <c:v>80.400000000000006</c:v>
                </c:pt>
                <c:pt idx="48">
                  <c:v>73.5</c:v>
                </c:pt>
                <c:pt idx="49">
                  <c:v>74.900000000000006</c:v>
                </c:pt>
                <c:pt idx="50">
                  <c:v>86.6</c:v>
                </c:pt>
                <c:pt idx="51">
                  <c:v>69.7</c:v>
                </c:pt>
                <c:pt idx="52">
                  <c:v>75</c:v>
                </c:pt>
                <c:pt idx="53">
                  <c:v>72.599999999999994</c:v>
                </c:pt>
                <c:pt idx="54">
                  <c:v>84.5</c:v>
                </c:pt>
                <c:pt idx="55">
                  <c:v>31</c:v>
                </c:pt>
                <c:pt idx="56">
                  <c:v>42.6</c:v>
                </c:pt>
                <c:pt idx="57">
                  <c:v>77.099999999999994</c:v>
                </c:pt>
                <c:pt idx="58">
                  <c:v>81.400000000000006</c:v>
                </c:pt>
                <c:pt idx="59">
                  <c:v>75.599999999999994</c:v>
                </c:pt>
                <c:pt idx="60">
                  <c:v>60.8</c:v>
                </c:pt>
                <c:pt idx="61">
                  <c:v>79.599999999999994</c:v>
                </c:pt>
                <c:pt idx="62">
                  <c:v>78.2</c:v>
                </c:pt>
                <c:pt idx="63">
                  <c:v>85</c:v>
                </c:pt>
                <c:pt idx="64">
                  <c:v>76.099999999999994</c:v>
                </c:pt>
                <c:pt idx="65">
                  <c:v>74.599999999999994</c:v>
                </c:pt>
                <c:pt idx="66">
                  <c:v>75.3</c:v>
                </c:pt>
                <c:pt idx="67">
                  <c:v>72.400000000000006</c:v>
                </c:pt>
                <c:pt idx="68">
                  <c:v>93.7</c:v>
                </c:pt>
                <c:pt idx="69">
                  <c:v>63.7</c:v>
                </c:pt>
                <c:pt idx="70">
                  <c:v>68.2</c:v>
                </c:pt>
                <c:pt idx="71">
                  <c:v>82.4</c:v>
                </c:pt>
                <c:pt idx="72">
                  <c:v>86.3</c:v>
                </c:pt>
                <c:pt idx="73">
                  <c:v>86.8</c:v>
                </c:pt>
                <c:pt idx="74">
                  <c:v>84.7</c:v>
                </c:pt>
                <c:pt idx="75">
                  <c:v>91</c:v>
                </c:pt>
                <c:pt idx="76">
                  <c:v>89.1</c:v>
                </c:pt>
                <c:pt idx="77">
                  <c:v>88.3</c:v>
                </c:pt>
                <c:pt idx="78">
                  <c:v>87.9</c:v>
                </c:pt>
                <c:pt idx="79">
                  <c:v>94.7</c:v>
                </c:pt>
                <c:pt idx="80">
                  <c:v>89.9</c:v>
                </c:pt>
                <c:pt idx="81">
                  <c:v>71.900000000000006</c:v>
                </c:pt>
                <c:pt idx="82">
                  <c:v>80</c:v>
                </c:pt>
                <c:pt idx="83">
                  <c:v>87.6</c:v>
                </c:pt>
                <c:pt idx="84">
                  <c:v>84.5</c:v>
                </c:pt>
                <c:pt idx="85">
                  <c:v>90.5</c:v>
                </c:pt>
                <c:pt idx="86">
                  <c:v>77.5</c:v>
                </c:pt>
                <c:pt idx="87">
                  <c:v>81.400000000000006</c:v>
                </c:pt>
                <c:pt idx="88">
                  <c:v>92.8</c:v>
                </c:pt>
                <c:pt idx="89">
                  <c:v>68.2</c:v>
                </c:pt>
                <c:pt idx="90">
                  <c:v>65.7</c:v>
                </c:pt>
                <c:pt idx="91">
                  <c:v>93.4</c:v>
                </c:pt>
                <c:pt idx="92">
                  <c:v>85.9</c:v>
                </c:pt>
                <c:pt idx="93">
                  <c:v>78.599999999999994</c:v>
                </c:pt>
                <c:pt idx="94">
                  <c:v>82.9</c:v>
                </c:pt>
                <c:pt idx="95">
                  <c:v>79</c:v>
                </c:pt>
                <c:pt idx="96">
                  <c:v>84.2</c:v>
                </c:pt>
                <c:pt idx="97">
                  <c:v>87.7</c:v>
                </c:pt>
                <c:pt idx="98">
                  <c:v>96.5</c:v>
                </c:pt>
                <c:pt idx="99">
                  <c:v>58.1</c:v>
                </c:pt>
                <c:pt idx="100">
                  <c:v>87.3</c:v>
                </c:pt>
                <c:pt idx="101">
                  <c:v>63</c:v>
                </c:pt>
                <c:pt idx="102">
                  <c:v>92.7</c:v>
                </c:pt>
                <c:pt idx="103">
                  <c:v>86.5</c:v>
                </c:pt>
                <c:pt idx="104">
                  <c:v>91.9</c:v>
                </c:pt>
                <c:pt idx="105">
                  <c:v>89</c:v>
                </c:pt>
                <c:pt idx="106">
                  <c:v>92.6</c:v>
                </c:pt>
                <c:pt idx="107">
                  <c:v>68.599999999999994</c:v>
                </c:pt>
                <c:pt idx="108">
                  <c:v>83.3</c:v>
                </c:pt>
                <c:pt idx="109">
                  <c:v>74.8</c:v>
                </c:pt>
                <c:pt idx="110">
                  <c:v>93.3</c:v>
                </c:pt>
                <c:pt idx="111">
                  <c:v>76.2</c:v>
                </c:pt>
                <c:pt idx="112">
                  <c:v>83.5</c:v>
                </c:pt>
                <c:pt idx="113">
                  <c:v>85.6</c:v>
                </c:pt>
                <c:pt idx="114">
                  <c:v>85.1</c:v>
                </c:pt>
                <c:pt idx="115">
                  <c:v>86.5</c:v>
                </c:pt>
                <c:pt idx="116">
                  <c:v>80.2</c:v>
                </c:pt>
              </c:numCache>
            </c:numRef>
          </c:val>
          <c:smooth val="0"/>
        </c:ser>
        <c:ser>
          <c:idx val="1"/>
          <c:order val="1"/>
          <c:tx>
            <c:strRef>
              <c:f>Sheet9!$B$1</c:f>
              <c:strCache>
                <c:ptCount val="1"/>
                <c:pt idx="0">
                  <c:v>Grade Prior to Final</c:v>
                </c:pt>
              </c:strCache>
            </c:strRef>
          </c:tx>
          <c:marker>
            <c:symbol val="none"/>
          </c:marker>
          <c:val>
            <c:numRef>
              <c:f>Sheet9!$B$2:$B$118</c:f>
              <c:numCache>
                <c:formatCode>General</c:formatCode>
                <c:ptCount val="117"/>
                <c:pt idx="0">
                  <c:v>95.8</c:v>
                </c:pt>
                <c:pt idx="1">
                  <c:v>82.7</c:v>
                </c:pt>
                <c:pt idx="2">
                  <c:v>77.8</c:v>
                </c:pt>
                <c:pt idx="3">
                  <c:v>77.900000000000006</c:v>
                </c:pt>
                <c:pt idx="4">
                  <c:v>74.599999999999994</c:v>
                </c:pt>
                <c:pt idx="5">
                  <c:v>87.3</c:v>
                </c:pt>
                <c:pt idx="6">
                  <c:v>58.2</c:v>
                </c:pt>
                <c:pt idx="7">
                  <c:v>70.8</c:v>
                </c:pt>
                <c:pt idx="8">
                  <c:v>86.5</c:v>
                </c:pt>
                <c:pt idx="9">
                  <c:v>77.5</c:v>
                </c:pt>
                <c:pt idx="10">
                  <c:v>65.099999999999994</c:v>
                </c:pt>
                <c:pt idx="11">
                  <c:v>73.3</c:v>
                </c:pt>
                <c:pt idx="12">
                  <c:v>88.1</c:v>
                </c:pt>
                <c:pt idx="13">
                  <c:v>87.7</c:v>
                </c:pt>
                <c:pt idx="14">
                  <c:v>72.900000000000006</c:v>
                </c:pt>
                <c:pt idx="15">
                  <c:v>77.2</c:v>
                </c:pt>
                <c:pt idx="16">
                  <c:v>90.3</c:v>
                </c:pt>
                <c:pt idx="17">
                  <c:v>80.099999999999994</c:v>
                </c:pt>
                <c:pt idx="18">
                  <c:v>89.1</c:v>
                </c:pt>
                <c:pt idx="19">
                  <c:v>80.099999999999994</c:v>
                </c:pt>
                <c:pt idx="20">
                  <c:v>85.6</c:v>
                </c:pt>
                <c:pt idx="21">
                  <c:v>78</c:v>
                </c:pt>
                <c:pt idx="22">
                  <c:v>72.900000000000006</c:v>
                </c:pt>
                <c:pt idx="23">
                  <c:v>81</c:v>
                </c:pt>
                <c:pt idx="24">
                  <c:v>83.6</c:v>
                </c:pt>
                <c:pt idx="25">
                  <c:v>72.400000000000006</c:v>
                </c:pt>
                <c:pt idx="26">
                  <c:v>87.5</c:v>
                </c:pt>
                <c:pt idx="27">
                  <c:v>82.2</c:v>
                </c:pt>
                <c:pt idx="28">
                  <c:v>76.2</c:v>
                </c:pt>
                <c:pt idx="29">
                  <c:v>79.599999999999994</c:v>
                </c:pt>
                <c:pt idx="30">
                  <c:v>72.7</c:v>
                </c:pt>
                <c:pt idx="31">
                  <c:v>73.2</c:v>
                </c:pt>
                <c:pt idx="32">
                  <c:v>88.8</c:v>
                </c:pt>
                <c:pt idx="33">
                  <c:v>72.400000000000006</c:v>
                </c:pt>
                <c:pt idx="34">
                  <c:v>94.3</c:v>
                </c:pt>
                <c:pt idx="35">
                  <c:v>88.6</c:v>
                </c:pt>
                <c:pt idx="36">
                  <c:v>89.4</c:v>
                </c:pt>
                <c:pt idx="37">
                  <c:v>74.599999999999994</c:v>
                </c:pt>
                <c:pt idx="38">
                  <c:v>74.099999999999994</c:v>
                </c:pt>
                <c:pt idx="39">
                  <c:v>87.3</c:v>
                </c:pt>
                <c:pt idx="40">
                  <c:v>78.7</c:v>
                </c:pt>
                <c:pt idx="41">
                  <c:v>72.8</c:v>
                </c:pt>
                <c:pt idx="42">
                  <c:v>84.1</c:v>
                </c:pt>
                <c:pt idx="43">
                  <c:v>78.400000000000006</c:v>
                </c:pt>
                <c:pt idx="44">
                  <c:v>86.7</c:v>
                </c:pt>
                <c:pt idx="45">
                  <c:v>71</c:v>
                </c:pt>
                <c:pt idx="46">
                  <c:v>82.9</c:v>
                </c:pt>
                <c:pt idx="47">
                  <c:v>82.2</c:v>
                </c:pt>
                <c:pt idx="48">
                  <c:v>70.599999999999994</c:v>
                </c:pt>
                <c:pt idx="49">
                  <c:v>75.2</c:v>
                </c:pt>
                <c:pt idx="50">
                  <c:v>83.8</c:v>
                </c:pt>
                <c:pt idx="51">
                  <c:v>69.8</c:v>
                </c:pt>
                <c:pt idx="52">
                  <c:v>73.8</c:v>
                </c:pt>
                <c:pt idx="53">
                  <c:v>75.900000000000006</c:v>
                </c:pt>
                <c:pt idx="54">
                  <c:v>83.3</c:v>
                </c:pt>
                <c:pt idx="55">
                  <c:v>28.4</c:v>
                </c:pt>
                <c:pt idx="56">
                  <c:v>44.2</c:v>
                </c:pt>
                <c:pt idx="57">
                  <c:v>76.3</c:v>
                </c:pt>
                <c:pt idx="58">
                  <c:v>77.400000000000006</c:v>
                </c:pt>
                <c:pt idx="59">
                  <c:v>72.2</c:v>
                </c:pt>
                <c:pt idx="60">
                  <c:v>61.1</c:v>
                </c:pt>
                <c:pt idx="61">
                  <c:v>77.8</c:v>
                </c:pt>
                <c:pt idx="62">
                  <c:v>75.3</c:v>
                </c:pt>
                <c:pt idx="63">
                  <c:v>83.9</c:v>
                </c:pt>
                <c:pt idx="64">
                  <c:v>73.400000000000006</c:v>
                </c:pt>
                <c:pt idx="65">
                  <c:v>75.7</c:v>
                </c:pt>
                <c:pt idx="66">
                  <c:v>76.400000000000006</c:v>
                </c:pt>
                <c:pt idx="67">
                  <c:v>71.099999999999994</c:v>
                </c:pt>
                <c:pt idx="68">
                  <c:v>92.9</c:v>
                </c:pt>
                <c:pt idx="69">
                  <c:v>62.5</c:v>
                </c:pt>
                <c:pt idx="70">
                  <c:v>67.3</c:v>
                </c:pt>
                <c:pt idx="71">
                  <c:v>80.599999999999994</c:v>
                </c:pt>
                <c:pt idx="72">
                  <c:v>83.6</c:v>
                </c:pt>
                <c:pt idx="73">
                  <c:v>86.9</c:v>
                </c:pt>
                <c:pt idx="74">
                  <c:v>85.9</c:v>
                </c:pt>
                <c:pt idx="75">
                  <c:v>90.6</c:v>
                </c:pt>
                <c:pt idx="76">
                  <c:v>88.6</c:v>
                </c:pt>
                <c:pt idx="77">
                  <c:v>88.2</c:v>
                </c:pt>
                <c:pt idx="78">
                  <c:v>86.5</c:v>
                </c:pt>
                <c:pt idx="79">
                  <c:v>92.8</c:v>
                </c:pt>
                <c:pt idx="80">
                  <c:v>86.4</c:v>
                </c:pt>
                <c:pt idx="81">
                  <c:v>72.900000000000006</c:v>
                </c:pt>
                <c:pt idx="82">
                  <c:v>80</c:v>
                </c:pt>
                <c:pt idx="83">
                  <c:v>85.5</c:v>
                </c:pt>
                <c:pt idx="84">
                  <c:v>83.3</c:v>
                </c:pt>
                <c:pt idx="85">
                  <c:v>89.9</c:v>
                </c:pt>
                <c:pt idx="86">
                  <c:v>73.8</c:v>
                </c:pt>
                <c:pt idx="87">
                  <c:v>81.900000000000006</c:v>
                </c:pt>
                <c:pt idx="88">
                  <c:v>92.1</c:v>
                </c:pt>
                <c:pt idx="89">
                  <c:v>67.5</c:v>
                </c:pt>
                <c:pt idx="90">
                  <c:v>66.099999999999994</c:v>
                </c:pt>
                <c:pt idx="91">
                  <c:v>94.4</c:v>
                </c:pt>
                <c:pt idx="92">
                  <c:v>85.3</c:v>
                </c:pt>
                <c:pt idx="93">
                  <c:v>78.2</c:v>
                </c:pt>
                <c:pt idx="94">
                  <c:v>82.5</c:v>
                </c:pt>
                <c:pt idx="95">
                  <c:v>79.3</c:v>
                </c:pt>
                <c:pt idx="96">
                  <c:v>85.5</c:v>
                </c:pt>
                <c:pt idx="97">
                  <c:v>86.7</c:v>
                </c:pt>
                <c:pt idx="98">
                  <c:v>96.3</c:v>
                </c:pt>
                <c:pt idx="99">
                  <c:v>62.8</c:v>
                </c:pt>
                <c:pt idx="100">
                  <c:v>86.1</c:v>
                </c:pt>
                <c:pt idx="101">
                  <c:v>64</c:v>
                </c:pt>
                <c:pt idx="102">
                  <c:v>92.1</c:v>
                </c:pt>
                <c:pt idx="103">
                  <c:v>86.4</c:v>
                </c:pt>
                <c:pt idx="104">
                  <c:v>89.6</c:v>
                </c:pt>
                <c:pt idx="105">
                  <c:v>88.8</c:v>
                </c:pt>
                <c:pt idx="106">
                  <c:v>90.6</c:v>
                </c:pt>
                <c:pt idx="107">
                  <c:v>71.3</c:v>
                </c:pt>
                <c:pt idx="108">
                  <c:v>80.5</c:v>
                </c:pt>
                <c:pt idx="109">
                  <c:v>76.2</c:v>
                </c:pt>
                <c:pt idx="110">
                  <c:v>91.3</c:v>
                </c:pt>
                <c:pt idx="111">
                  <c:v>76.5</c:v>
                </c:pt>
                <c:pt idx="112">
                  <c:v>81.400000000000006</c:v>
                </c:pt>
                <c:pt idx="113">
                  <c:v>84.9</c:v>
                </c:pt>
                <c:pt idx="114">
                  <c:v>85.8</c:v>
                </c:pt>
                <c:pt idx="115">
                  <c:v>89.2</c:v>
                </c:pt>
                <c:pt idx="116">
                  <c:v>79.7</c:v>
                </c:pt>
              </c:numCache>
            </c:numRef>
          </c:val>
          <c:smooth val="0"/>
        </c:ser>
        <c:ser>
          <c:idx val="2"/>
          <c:order val="2"/>
          <c:tx>
            <c:strRef>
              <c:f>Sheet9!$C$1</c:f>
              <c:strCache>
                <c:ptCount val="1"/>
                <c:pt idx="0">
                  <c:v>Minimum Passing Grade</c:v>
                </c:pt>
              </c:strCache>
            </c:strRef>
          </c:tx>
          <c:marker>
            <c:symbol val="none"/>
          </c:marker>
          <c:val>
            <c:numRef>
              <c:f>Sheet9!$C$2:$C$118</c:f>
              <c:numCache>
                <c:formatCode>General</c:formatCode>
                <c:ptCount val="117"/>
                <c:pt idx="0">
                  <c:v>72</c:v>
                </c:pt>
                <c:pt idx="1">
                  <c:v>72</c:v>
                </c:pt>
                <c:pt idx="2">
                  <c:v>72</c:v>
                </c:pt>
                <c:pt idx="3">
                  <c:v>72</c:v>
                </c:pt>
                <c:pt idx="4">
                  <c:v>72</c:v>
                </c:pt>
                <c:pt idx="5">
                  <c:v>72</c:v>
                </c:pt>
                <c:pt idx="6">
                  <c:v>72</c:v>
                </c:pt>
                <c:pt idx="7">
                  <c:v>72</c:v>
                </c:pt>
                <c:pt idx="8">
                  <c:v>72</c:v>
                </c:pt>
                <c:pt idx="9">
                  <c:v>72</c:v>
                </c:pt>
                <c:pt idx="10">
                  <c:v>72</c:v>
                </c:pt>
                <c:pt idx="11">
                  <c:v>72</c:v>
                </c:pt>
                <c:pt idx="12">
                  <c:v>72</c:v>
                </c:pt>
                <c:pt idx="13">
                  <c:v>72</c:v>
                </c:pt>
                <c:pt idx="14">
                  <c:v>72</c:v>
                </c:pt>
                <c:pt idx="15">
                  <c:v>72</c:v>
                </c:pt>
                <c:pt idx="16">
                  <c:v>72</c:v>
                </c:pt>
                <c:pt idx="17">
                  <c:v>72</c:v>
                </c:pt>
                <c:pt idx="18">
                  <c:v>72</c:v>
                </c:pt>
                <c:pt idx="19">
                  <c:v>72</c:v>
                </c:pt>
                <c:pt idx="20">
                  <c:v>72</c:v>
                </c:pt>
                <c:pt idx="21">
                  <c:v>72</c:v>
                </c:pt>
                <c:pt idx="22">
                  <c:v>72</c:v>
                </c:pt>
                <c:pt idx="23">
                  <c:v>72</c:v>
                </c:pt>
                <c:pt idx="24">
                  <c:v>72</c:v>
                </c:pt>
                <c:pt idx="25">
                  <c:v>72</c:v>
                </c:pt>
                <c:pt idx="26">
                  <c:v>72</c:v>
                </c:pt>
                <c:pt idx="27">
                  <c:v>72</c:v>
                </c:pt>
                <c:pt idx="28">
                  <c:v>72</c:v>
                </c:pt>
                <c:pt idx="29">
                  <c:v>72</c:v>
                </c:pt>
                <c:pt idx="30">
                  <c:v>72</c:v>
                </c:pt>
                <c:pt idx="31">
                  <c:v>72</c:v>
                </c:pt>
                <c:pt idx="32">
                  <c:v>72</c:v>
                </c:pt>
                <c:pt idx="33">
                  <c:v>72</c:v>
                </c:pt>
                <c:pt idx="34">
                  <c:v>72</c:v>
                </c:pt>
                <c:pt idx="35">
                  <c:v>72</c:v>
                </c:pt>
                <c:pt idx="36">
                  <c:v>72</c:v>
                </c:pt>
                <c:pt idx="37">
                  <c:v>72</c:v>
                </c:pt>
                <c:pt idx="38">
                  <c:v>72</c:v>
                </c:pt>
                <c:pt idx="39">
                  <c:v>72</c:v>
                </c:pt>
                <c:pt idx="40">
                  <c:v>72</c:v>
                </c:pt>
                <c:pt idx="41">
                  <c:v>72</c:v>
                </c:pt>
                <c:pt idx="42">
                  <c:v>72</c:v>
                </c:pt>
                <c:pt idx="43">
                  <c:v>72</c:v>
                </c:pt>
                <c:pt idx="44">
                  <c:v>72</c:v>
                </c:pt>
                <c:pt idx="45">
                  <c:v>72</c:v>
                </c:pt>
                <c:pt idx="46">
                  <c:v>72</c:v>
                </c:pt>
                <c:pt idx="47">
                  <c:v>72</c:v>
                </c:pt>
                <c:pt idx="48">
                  <c:v>72</c:v>
                </c:pt>
                <c:pt idx="49">
                  <c:v>72</c:v>
                </c:pt>
                <c:pt idx="50">
                  <c:v>72</c:v>
                </c:pt>
                <c:pt idx="51">
                  <c:v>72</c:v>
                </c:pt>
                <c:pt idx="52">
                  <c:v>72</c:v>
                </c:pt>
                <c:pt idx="53">
                  <c:v>72</c:v>
                </c:pt>
                <c:pt idx="54">
                  <c:v>72</c:v>
                </c:pt>
                <c:pt idx="55">
                  <c:v>72</c:v>
                </c:pt>
                <c:pt idx="56">
                  <c:v>72</c:v>
                </c:pt>
                <c:pt idx="57">
                  <c:v>72</c:v>
                </c:pt>
                <c:pt idx="58">
                  <c:v>72</c:v>
                </c:pt>
                <c:pt idx="59">
                  <c:v>72</c:v>
                </c:pt>
                <c:pt idx="60">
                  <c:v>72</c:v>
                </c:pt>
                <c:pt idx="61">
                  <c:v>72</c:v>
                </c:pt>
                <c:pt idx="62">
                  <c:v>72</c:v>
                </c:pt>
                <c:pt idx="63">
                  <c:v>72</c:v>
                </c:pt>
                <c:pt idx="64">
                  <c:v>72</c:v>
                </c:pt>
                <c:pt idx="65">
                  <c:v>72</c:v>
                </c:pt>
                <c:pt idx="66">
                  <c:v>72</c:v>
                </c:pt>
                <c:pt idx="67">
                  <c:v>72</c:v>
                </c:pt>
                <c:pt idx="68">
                  <c:v>72</c:v>
                </c:pt>
                <c:pt idx="69">
                  <c:v>72</c:v>
                </c:pt>
                <c:pt idx="70">
                  <c:v>72</c:v>
                </c:pt>
                <c:pt idx="71">
                  <c:v>72</c:v>
                </c:pt>
                <c:pt idx="72">
                  <c:v>72</c:v>
                </c:pt>
                <c:pt idx="73">
                  <c:v>72</c:v>
                </c:pt>
                <c:pt idx="74">
                  <c:v>72</c:v>
                </c:pt>
                <c:pt idx="75">
                  <c:v>72</c:v>
                </c:pt>
                <c:pt idx="76">
                  <c:v>72</c:v>
                </c:pt>
                <c:pt idx="77">
                  <c:v>72</c:v>
                </c:pt>
                <c:pt idx="78">
                  <c:v>72</c:v>
                </c:pt>
                <c:pt idx="79">
                  <c:v>72</c:v>
                </c:pt>
                <c:pt idx="80">
                  <c:v>72</c:v>
                </c:pt>
                <c:pt idx="81">
                  <c:v>72</c:v>
                </c:pt>
                <c:pt idx="82">
                  <c:v>72</c:v>
                </c:pt>
                <c:pt idx="83">
                  <c:v>72</c:v>
                </c:pt>
                <c:pt idx="84">
                  <c:v>72</c:v>
                </c:pt>
                <c:pt idx="85">
                  <c:v>72</c:v>
                </c:pt>
                <c:pt idx="86">
                  <c:v>72</c:v>
                </c:pt>
                <c:pt idx="87">
                  <c:v>72</c:v>
                </c:pt>
                <c:pt idx="88">
                  <c:v>72</c:v>
                </c:pt>
                <c:pt idx="89">
                  <c:v>72</c:v>
                </c:pt>
                <c:pt idx="90">
                  <c:v>72</c:v>
                </c:pt>
                <c:pt idx="91">
                  <c:v>72</c:v>
                </c:pt>
                <c:pt idx="92">
                  <c:v>72</c:v>
                </c:pt>
                <c:pt idx="93">
                  <c:v>72</c:v>
                </c:pt>
                <c:pt idx="94">
                  <c:v>72</c:v>
                </c:pt>
                <c:pt idx="95">
                  <c:v>72</c:v>
                </c:pt>
                <c:pt idx="96">
                  <c:v>72</c:v>
                </c:pt>
                <c:pt idx="97">
                  <c:v>72</c:v>
                </c:pt>
                <c:pt idx="98">
                  <c:v>72</c:v>
                </c:pt>
                <c:pt idx="99">
                  <c:v>72</c:v>
                </c:pt>
                <c:pt idx="100">
                  <c:v>72</c:v>
                </c:pt>
                <c:pt idx="101">
                  <c:v>72</c:v>
                </c:pt>
                <c:pt idx="102">
                  <c:v>72</c:v>
                </c:pt>
                <c:pt idx="103">
                  <c:v>72</c:v>
                </c:pt>
                <c:pt idx="104">
                  <c:v>72</c:v>
                </c:pt>
                <c:pt idx="105">
                  <c:v>72</c:v>
                </c:pt>
                <c:pt idx="106">
                  <c:v>72</c:v>
                </c:pt>
                <c:pt idx="107">
                  <c:v>72</c:v>
                </c:pt>
                <c:pt idx="108">
                  <c:v>72</c:v>
                </c:pt>
                <c:pt idx="109">
                  <c:v>72</c:v>
                </c:pt>
                <c:pt idx="110">
                  <c:v>72</c:v>
                </c:pt>
                <c:pt idx="111">
                  <c:v>72</c:v>
                </c:pt>
                <c:pt idx="112">
                  <c:v>72</c:v>
                </c:pt>
                <c:pt idx="113">
                  <c:v>72</c:v>
                </c:pt>
                <c:pt idx="114">
                  <c:v>72</c:v>
                </c:pt>
                <c:pt idx="115">
                  <c:v>72</c:v>
                </c:pt>
                <c:pt idx="116">
                  <c:v>72</c:v>
                </c:pt>
              </c:numCache>
            </c:numRef>
          </c:val>
          <c:smooth val="0"/>
        </c:ser>
        <c:dLbls>
          <c:showLegendKey val="0"/>
          <c:showVal val="0"/>
          <c:showCatName val="0"/>
          <c:showSerName val="0"/>
          <c:showPercent val="0"/>
          <c:showBubbleSize val="0"/>
        </c:dLbls>
        <c:marker val="1"/>
        <c:smooth val="0"/>
        <c:axId val="63169664"/>
        <c:axId val="63171584"/>
      </c:lineChart>
      <c:catAx>
        <c:axId val="63169664"/>
        <c:scaling>
          <c:orientation val="minMax"/>
        </c:scaling>
        <c:delete val="0"/>
        <c:axPos val="b"/>
        <c:title>
          <c:tx>
            <c:rich>
              <a:bodyPr/>
              <a:lstStyle/>
              <a:p>
                <a:pPr>
                  <a:defRPr/>
                </a:pPr>
                <a:r>
                  <a:rPr lang="en-US"/>
                  <a:t>Students</a:t>
                </a:r>
              </a:p>
            </c:rich>
          </c:tx>
          <c:overlay val="0"/>
        </c:title>
        <c:majorTickMark val="out"/>
        <c:minorTickMark val="none"/>
        <c:tickLblPos val="nextTo"/>
        <c:crossAx val="63171584"/>
        <c:crosses val="autoZero"/>
        <c:auto val="1"/>
        <c:lblAlgn val="ctr"/>
        <c:lblOffset val="100"/>
        <c:noMultiLvlLbl val="0"/>
      </c:catAx>
      <c:valAx>
        <c:axId val="63171584"/>
        <c:scaling>
          <c:orientation val="minMax"/>
        </c:scaling>
        <c:delete val="0"/>
        <c:axPos val="l"/>
        <c:majorGridlines/>
        <c:title>
          <c:tx>
            <c:rich>
              <a:bodyPr rot="-5400000" vert="horz"/>
              <a:lstStyle/>
              <a:p>
                <a:pPr>
                  <a:defRPr/>
                </a:pPr>
                <a:r>
                  <a:rPr lang="en-US"/>
                  <a:t>Grades as a Percentage (%)</a:t>
                </a:r>
              </a:p>
            </c:rich>
          </c:tx>
          <c:overlay val="0"/>
        </c:title>
        <c:numFmt formatCode="General" sourceLinked="1"/>
        <c:majorTickMark val="out"/>
        <c:minorTickMark val="none"/>
        <c:tickLblPos val="nextTo"/>
        <c:crossAx val="6316966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99436647026527E-2"/>
          <c:y val="2.5427165354330709E-2"/>
          <c:w val="0.88045154410418269"/>
          <c:h val="0.66065780839895061"/>
        </c:manualLayout>
      </c:layout>
      <c:lineChart>
        <c:grouping val="standard"/>
        <c:varyColors val="0"/>
        <c:ser>
          <c:idx val="0"/>
          <c:order val="0"/>
          <c:tx>
            <c:strRef>
              <c:f>Sheet10!$A$1</c:f>
              <c:strCache>
                <c:ptCount val="1"/>
                <c:pt idx="0">
                  <c:v>Diagnostic Pre-Test</c:v>
                </c:pt>
              </c:strCache>
            </c:strRef>
          </c:tx>
          <c:marker>
            <c:symbol val="none"/>
          </c:marker>
          <c:val>
            <c:numRef>
              <c:f>Sheet10!$A$2:$A$100</c:f>
              <c:numCache>
                <c:formatCode>General</c:formatCode>
                <c:ptCount val="99"/>
                <c:pt idx="0">
                  <c:v>41.7</c:v>
                </c:pt>
                <c:pt idx="1">
                  <c:v>18.899999999999999</c:v>
                </c:pt>
                <c:pt idx="2">
                  <c:v>77.8</c:v>
                </c:pt>
                <c:pt idx="3">
                  <c:v>31.7</c:v>
                </c:pt>
                <c:pt idx="4">
                  <c:v>43.3</c:v>
                </c:pt>
                <c:pt idx="5">
                  <c:v>18.3</c:v>
                </c:pt>
                <c:pt idx="6">
                  <c:v>17.2</c:v>
                </c:pt>
                <c:pt idx="7">
                  <c:v>21.7</c:v>
                </c:pt>
                <c:pt idx="8">
                  <c:v>32.200000000000003</c:v>
                </c:pt>
                <c:pt idx="9">
                  <c:v>38.6</c:v>
                </c:pt>
                <c:pt idx="10">
                  <c:v>35.6</c:v>
                </c:pt>
                <c:pt idx="11">
                  <c:v>40</c:v>
                </c:pt>
                <c:pt idx="12">
                  <c:v>52.2</c:v>
                </c:pt>
                <c:pt idx="13">
                  <c:v>25</c:v>
                </c:pt>
                <c:pt idx="14">
                  <c:v>43.3</c:v>
                </c:pt>
                <c:pt idx="15">
                  <c:v>23.3</c:v>
                </c:pt>
                <c:pt idx="16">
                  <c:v>58.9</c:v>
                </c:pt>
                <c:pt idx="17">
                  <c:v>27.2</c:v>
                </c:pt>
                <c:pt idx="18">
                  <c:v>63.9</c:v>
                </c:pt>
                <c:pt idx="19">
                  <c:v>63.1</c:v>
                </c:pt>
                <c:pt idx="20">
                  <c:v>39.4</c:v>
                </c:pt>
                <c:pt idx="21">
                  <c:v>45.6</c:v>
                </c:pt>
                <c:pt idx="22">
                  <c:v>27.8</c:v>
                </c:pt>
                <c:pt idx="23">
                  <c:v>31.7</c:v>
                </c:pt>
                <c:pt idx="24">
                  <c:v>33.9</c:v>
                </c:pt>
                <c:pt idx="25">
                  <c:v>19.2</c:v>
                </c:pt>
                <c:pt idx="26">
                  <c:v>37.200000000000003</c:v>
                </c:pt>
                <c:pt idx="27">
                  <c:v>20</c:v>
                </c:pt>
                <c:pt idx="28">
                  <c:v>18.3</c:v>
                </c:pt>
                <c:pt idx="29">
                  <c:v>56.7</c:v>
                </c:pt>
                <c:pt idx="30">
                  <c:v>39.4</c:v>
                </c:pt>
                <c:pt idx="31">
                  <c:v>8.3000000000000007</c:v>
                </c:pt>
                <c:pt idx="32">
                  <c:v>47.2</c:v>
                </c:pt>
                <c:pt idx="33">
                  <c:v>60.3</c:v>
                </c:pt>
                <c:pt idx="34">
                  <c:v>37.200000000000003</c:v>
                </c:pt>
                <c:pt idx="35">
                  <c:v>46.9</c:v>
                </c:pt>
                <c:pt idx="36">
                  <c:v>22.2</c:v>
                </c:pt>
                <c:pt idx="37">
                  <c:v>37.200000000000003</c:v>
                </c:pt>
                <c:pt idx="38">
                  <c:v>53.1</c:v>
                </c:pt>
                <c:pt idx="39">
                  <c:v>15.8</c:v>
                </c:pt>
                <c:pt idx="40">
                  <c:v>34.4</c:v>
                </c:pt>
                <c:pt idx="41">
                  <c:v>40</c:v>
                </c:pt>
                <c:pt idx="42">
                  <c:v>43.9</c:v>
                </c:pt>
                <c:pt idx="43">
                  <c:v>23.3</c:v>
                </c:pt>
                <c:pt idx="44">
                  <c:v>52.8</c:v>
                </c:pt>
                <c:pt idx="45">
                  <c:v>19.7</c:v>
                </c:pt>
                <c:pt idx="46">
                  <c:v>47.2</c:v>
                </c:pt>
                <c:pt idx="47">
                  <c:v>40</c:v>
                </c:pt>
                <c:pt idx="48">
                  <c:v>28.9</c:v>
                </c:pt>
                <c:pt idx="49">
                  <c:v>20.6</c:v>
                </c:pt>
                <c:pt idx="50">
                  <c:v>33.300000000000004</c:v>
                </c:pt>
                <c:pt idx="51">
                  <c:v>31.1</c:v>
                </c:pt>
                <c:pt idx="52">
                  <c:v>26.7</c:v>
                </c:pt>
                <c:pt idx="53">
                  <c:v>23.9</c:v>
                </c:pt>
                <c:pt idx="54">
                  <c:v>30.6</c:v>
                </c:pt>
                <c:pt idx="55">
                  <c:v>47.5</c:v>
                </c:pt>
                <c:pt idx="56">
                  <c:v>27.5</c:v>
                </c:pt>
                <c:pt idx="57">
                  <c:v>44.2</c:v>
                </c:pt>
                <c:pt idx="58">
                  <c:v>20</c:v>
                </c:pt>
                <c:pt idx="59">
                  <c:v>33.1</c:v>
                </c:pt>
                <c:pt idx="60">
                  <c:v>31.7</c:v>
                </c:pt>
                <c:pt idx="61">
                  <c:v>33.1</c:v>
                </c:pt>
                <c:pt idx="62">
                  <c:v>54.7</c:v>
                </c:pt>
                <c:pt idx="63">
                  <c:v>40.6</c:v>
                </c:pt>
                <c:pt idx="64">
                  <c:v>46.7</c:v>
                </c:pt>
                <c:pt idx="65">
                  <c:v>25</c:v>
                </c:pt>
                <c:pt idx="66">
                  <c:v>38.300000000000004</c:v>
                </c:pt>
                <c:pt idx="67">
                  <c:v>31.7</c:v>
                </c:pt>
                <c:pt idx="68">
                  <c:v>42.8</c:v>
                </c:pt>
                <c:pt idx="69">
                  <c:v>43.1</c:v>
                </c:pt>
                <c:pt idx="70">
                  <c:v>34.4</c:v>
                </c:pt>
                <c:pt idx="71">
                  <c:v>23.3</c:v>
                </c:pt>
                <c:pt idx="72">
                  <c:v>50.3</c:v>
                </c:pt>
                <c:pt idx="73">
                  <c:v>50.6</c:v>
                </c:pt>
                <c:pt idx="74">
                  <c:v>54.7</c:v>
                </c:pt>
                <c:pt idx="75">
                  <c:v>24.2</c:v>
                </c:pt>
                <c:pt idx="76">
                  <c:v>36.4</c:v>
                </c:pt>
                <c:pt idx="77">
                  <c:v>41.7</c:v>
                </c:pt>
                <c:pt idx="78">
                  <c:v>42.2</c:v>
                </c:pt>
                <c:pt idx="79">
                  <c:v>31.7</c:v>
                </c:pt>
                <c:pt idx="80">
                  <c:v>33.6</c:v>
                </c:pt>
                <c:pt idx="81">
                  <c:v>28.3</c:v>
                </c:pt>
                <c:pt idx="82">
                  <c:v>28.3</c:v>
                </c:pt>
                <c:pt idx="83">
                  <c:v>28.3</c:v>
                </c:pt>
                <c:pt idx="84">
                  <c:v>28.3</c:v>
                </c:pt>
                <c:pt idx="85">
                  <c:v>52.5</c:v>
                </c:pt>
                <c:pt idx="86">
                  <c:v>37.800000000000004</c:v>
                </c:pt>
                <c:pt idx="87">
                  <c:v>37.200000000000003</c:v>
                </c:pt>
                <c:pt idx="88">
                  <c:v>36.700000000000003</c:v>
                </c:pt>
                <c:pt idx="89">
                  <c:v>48.9</c:v>
                </c:pt>
                <c:pt idx="90">
                  <c:v>43.9</c:v>
                </c:pt>
                <c:pt idx="91">
                  <c:v>17.5</c:v>
                </c:pt>
                <c:pt idx="92">
                  <c:v>37.200000000000003</c:v>
                </c:pt>
                <c:pt idx="93">
                  <c:v>50</c:v>
                </c:pt>
                <c:pt idx="94">
                  <c:v>25.6</c:v>
                </c:pt>
                <c:pt idx="95">
                  <c:v>23.9</c:v>
                </c:pt>
                <c:pt idx="96">
                  <c:v>73.599999999999994</c:v>
                </c:pt>
                <c:pt idx="97">
                  <c:v>47.2</c:v>
                </c:pt>
                <c:pt idx="98">
                  <c:v>36.6</c:v>
                </c:pt>
              </c:numCache>
            </c:numRef>
          </c:val>
          <c:smooth val="0"/>
        </c:ser>
        <c:ser>
          <c:idx val="1"/>
          <c:order val="1"/>
          <c:tx>
            <c:strRef>
              <c:f>Sheet10!$B$1</c:f>
              <c:strCache>
                <c:ptCount val="1"/>
                <c:pt idx="0">
                  <c:v>Diagnostic Post-Test</c:v>
                </c:pt>
              </c:strCache>
            </c:strRef>
          </c:tx>
          <c:marker>
            <c:symbol val="none"/>
          </c:marker>
          <c:val>
            <c:numRef>
              <c:f>Sheet10!$B$2:$B$100</c:f>
              <c:numCache>
                <c:formatCode>General</c:formatCode>
                <c:ptCount val="99"/>
                <c:pt idx="0">
                  <c:v>82.2</c:v>
                </c:pt>
                <c:pt idx="1">
                  <c:v>90.8</c:v>
                </c:pt>
                <c:pt idx="2">
                  <c:v>81.900000000000006</c:v>
                </c:pt>
                <c:pt idx="3">
                  <c:v>63.3</c:v>
                </c:pt>
                <c:pt idx="4">
                  <c:v>72.5</c:v>
                </c:pt>
                <c:pt idx="5">
                  <c:v>82.8</c:v>
                </c:pt>
                <c:pt idx="6">
                  <c:v>45.6</c:v>
                </c:pt>
                <c:pt idx="7">
                  <c:v>58.9</c:v>
                </c:pt>
                <c:pt idx="8">
                  <c:v>72.2</c:v>
                </c:pt>
                <c:pt idx="9">
                  <c:v>54.4</c:v>
                </c:pt>
                <c:pt idx="10">
                  <c:v>56.7</c:v>
                </c:pt>
                <c:pt idx="11">
                  <c:v>68.099999999999994</c:v>
                </c:pt>
                <c:pt idx="12">
                  <c:v>68.099999999999994</c:v>
                </c:pt>
                <c:pt idx="13">
                  <c:v>63.9</c:v>
                </c:pt>
                <c:pt idx="14">
                  <c:v>78.3</c:v>
                </c:pt>
                <c:pt idx="15">
                  <c:v>33.300000000000004</c:v>
                </c:pt>
                <c:pt idx="16">
                  <c:v>74.400000000000006</c:v>
                </c:pt>
                <c:pt idx="17">
                  <c:v>68.3</c:v>
                </c:pt>
                <c:pt idx="18">
                  <c:v>74.400000000000006</c:v>
                </c:pt>
                <c:pt idx="19">
                  <c:v>75.599999999999994</c:v>
                </c:pt>
                <c:pt idx="20">
                  <c:v>67.2</c:v>
                </c:pt>
                <c:pt idx="21">
                  <c:v>62.2</c:v>
                </c:pt>
                <c:pt idx="22">
                  <c:v>60.3</c:v>
                </c:pt>
                <c:pt idx="23">
                  <c:v>71.7</c:v>
                </c:pt>
                <c:pt idx="24">
                  <c:v>67.2</c:v>
                </c:pt>
                <c:pt idx="25">
                  <c:v>49.2</c:v>
                </c:pt>
                <c:pt idx="26">
                  <c:v>75.599999999999994</c:v>
                </c:pt>
                <c:pt idx="27">
                  <c:v>67.5</c:v>
                </c:pt>
                <c:pt idx="28">
                  <c:v>53.9</c:v>
                </c:pt>
                <c:pt idx="29">
                  <c:v>66.099999999999994</c:v>
                </c:pt>
                <c:pt idx="30">
                  <c:v>59.7</c:v>
                </c:pt>
                <c:pt idx="31">
                  <c:v>19.2</c:v>
                </c:pt>
                <c:pt idx="32">
                  <c:v>85.6</c:v>
                </c:pt>
                <c:pt idx="33">
                  <c:v>92.8</c:v>
                </c:pt>
                <c:pt idx="34">
                  <c:v>77.5</c:v>
                </c:pt>
                <c:pt idx="35">
                  <c:v>90</c:v>
                </c:pt>
                <c:pt idx="36">
                  <c:v>74.7</c:v>
                </c:pt>
                <c:pt idx="37">
                  <c:v>56.7</c:v>
                </c:pt>
                <c:pt idx="38">
                  <c:v>69.400000000000006</c:v>
                </c:pt>
                <c:pt idx="39">
                  <c:v>62.8</c:v>
                </c:pt>
                <c:pt idx="40">
                  <c:v>57.8</c:v>
                </c:pt>
                <c:pt idx="41">
                  <c:v>78.900000000000006</c:v>
                </c:pt>
                <c:pt idx="42">
                  <c:v>76.7</c:v>
                </c:pt>
                <c:pt idx="43">
                  <c:v>73.3</c:v>
                </c:pt>
                <c:pt idx="44">
                  <c:v>77.8</c:v>
                </c:pt>
                <c:pt idx="45">
                  <c:v>61.4</c:v>
                </c:pt>
                <c:pt idx="46">
                  <c:v>62.8</c:v>
                </c:pt>
                <c:pt idx="47">
                  <c:v>81.099999999999994</c:v>
                </c:pt>
                <c:pt idx="48">
                  <c:v>42.5</c:v>
                </c:pt>
                <c:pt idx="49">
                  <c:v>68.3</c:v>
                </c:pt>
                <c:pt idx="50">
                  <c:v>58.9</c:v>
                </c:pt>
                <c:pt idx="51">
                  <c:v>65.599999999999994</c:v>
                </c:pt>
                <c:pt idx="52">
                  <c:v>30</c:v>
                </c:pt>
                <c:pt idx="53">
                  <c:v>72.8</c:v>
                </c:pt>
                <c:pt idx="54">
                  <c:v>52.5</c:v>
                </c:pt>
                <c:pt idx="55">
                  <c:v>70</c:v>
                </c:pt>
                <c:pt idx="56">
                  <c:v>57.2</c:v>
                </c:pt>
                <c:pt idx="57">
                  <c:v>82.8</c:v>
                </c:pt>
                <c:pt idx="58">
                  <c:v>26.7</c:v>
                </c:pt>
                <c:pt idx="59">
                  <c:v>77.2</c:v>
                </c:pt>
                <c:pt idx="60">
                  <c:v>80</c:v>
                </c:pt>
                <c:pt idx="61">
                  <c:v>66.099999999999994</c:v>
                </c:pt>
                <c:pt idx="62">
                  <c:v>84.4</c:v>
                </c:pt>
                <c:pt idx="63">
                  <c:v>78.900000000000006</c:v>
                </c:pt>
                <c:pt idx="64">
                  <c:v>76.099999999999994</c:v>
                </c:pt>
                <c:pt idx="65">
                  <c:v>73.599999999999994</c:v>
                </c:pt>
                <c:pt idx="66">
                  <c:v>78.900000000000006</c:v>
                </c:pt>
                <c:pt idx="67">
                  <c:v>75.599999999999994</c:v>
                </c:pt>
                <c:pt idx="68">
                  <c:v>91.1</c:v>
                </c:pt>
                <c:pt idx="69">
                  <c:v>79.400000000000006</c:v>
                </c:pt>
                <c:pt idx="70">
                  <c:v>79.400000000000006</c:v>
                </c:pt>
                <c:pt idx="71">
                  <c:v>57.2</c:v>
                </c:pt>
                <c:pt idx="72">
                  <c:v>72.2</c:v>
                </c:pt>
                <c:pt idx="73">
                  <c:v>82.5</c:v>
                </c:pt>
                <c:pt idx="74">
                  <c:v>65.8</c:v>
                </c:pt>
                <c:pt idx="75">
                  <c:v>41.1</c:v>
                </c:pt>
                <c:pt idx="76">
                  <c:v>78.900000000000006</c:v>
                </c:pt>
                <c:pt idx="77">
                  <c:v>60.8</c:v>
                </c:pt>
                <c:pt idx="78">
                  <c:v>81.7</c:v>
                </c:pt>
                <c:pt idx="79">
                  <c:v>81.099999999999994</c:v>
                </c:pt>
                <c:pt idx="80">
                  <c:v>69.400000000000006</c:v>
                </c:pt>
                <c:pt idx="81">
                  <c:v>66.7</c:v>
                </c:pt>
                <c:pt idx="82">
                  <c:v>59.4</c:v>
                </c:pt>
                <c:pt idx="83">
                  <c:v>77.2</c:v>
                </c:pt>
                <c:pt idx="84">
                  <c:v>80.599999999999994</c:v>
                </c:pt>
                <c:pt idx="85">
                  <c:v>77.8</c:v>
                </c:pt>
                <c:pt idx="86">
                  <c:v>67.8</c:v>
                </c:pt>
                <c:pt idx="87">
                  <c:v>78.900000000000006</c:v>
                </c:pt>
                <c:pt idx="88">
                  <c:v>78.900000000000006</c:v>
                </c:pt>
                <c:pt idx="89">
                  <c:v>50</c:v>
                </c:pt>
                <c:pt idx="90">
                  <c:v>81.7</c:v>
                </c:pt>
                <c:pt idx="91">
                  <c:v>77.8</c:v>
                </c:pt>
                <c:pt idx="92">
                  <c:v>76.7</c:v>
                </c:pt>
                <c:pt idx="93">
                  <c:v>81.099999999999994</c:v>
                </c:pt>
                <c:pt idx="94">
                  <c:v>71.400000000000006</c:v>
                </c:pt>
                <c:pt idx="95">
                  <c:v>60.6</c:v>
                </c:pt>
                <c:pt idx="96">
                  <c:v>77.8</c:v>
                </c:pt>
                <c:pt idx="97">
                  <c:v>78.900000000000006</c:v>
                </c:pt>
                <c:pt idx="98">
                  <c:v>68.5</c:v>
                </c:pt>
              </c:numCache>
            </c:numRef>
          </c:val>
          <c:smooth val="0"/>
        </c:ser>
        <c:ser>
          <c:idx val="2"/>
          <c:order val="2"/>
          <c:tx>
            <c:strRef>
              <c:f>Sheet10!$C$1</c:f>
              <c:strCache>
                <c:ptCount val="1"/>
                <c:pt idx="0">
                  <c:v>Average Pre-Test</c:v>
                </c:pt>
              </c:strCache>
            </c:strRef>
          </c:tx>
          <c:marker>
            <c:symbol val="none"/>
          </c:marker>
          <c:val>
            <c:numRef>
              <c:f>Sheet10!$C$2:$C$100</c:f>
              <c:numCache>
                <c:formatCode>General</c:formatCode>
                <c:ptCount val="99"/>
                <c:pt idx="0">
                  <c:v>37.1</c:v>
                </c:pt>
                <c:pt idx="1">
                  <c:v>37.1</c:v>
                </c:pt>
                <c:pt idx="2">
                  <c:v>37.1</c:v>
                </c:pt>
                <c:pt idx="3">
                  <c:v>37.1</c:v>
                </c:pt>
                <c:pt idx="4">
                  <c:v>37.1</c:v>
                </c:pt>
                <c:pt idx="5">
                  <c:v>37.1</c:v>
                </c:pt>
                <c:pt idx="6">
                  <c:v>37.1</c:v>
                </c:pt>
                <c:pt idx="7">
                  <c:v>37.1</c:v>
                </c:pt>
                <c:pt idx="8">
                  <c:v>37.1</c:v>
                </c:pt>
                <c:pt idx="9">
                  <c:v>37.1</c:v>
                </c:pt>
                <c:pt idx="10">
                  <c:v>37.1</c:v>
                </c:pt>
                <c:pt idx="11">
                  <c:v>37.1</c:v>
                </c:pt>
                <c:pt idx="12">
                  <c:v>37.1</c:v>
                </c:pt>
                <c:pt idx="13">
                  <c:v>37.1</c:v>
                </c:pt>
                <c:pt idx="14">
                  <c:v>37.1</c:v>
                </c:pt>
                <c:pt idx="15">
                  <c:v>37.1</c:v>
                </c:pt>
                <c:pt idx="16">
                  <c:v>37.1</c:v>
                </c:pt>
                <c:pt idx="17">
                  <c:v>37.1</c:v>
                </c:pt>
                <c:pt idx="18">
                  <c:v>37.1</c:v>
                </c:pt>
                <c:pt idx="19">
                  <c:v>37.1</c:v>
                </c:pt>
                <c:pt idx="20">
                  <c:v>37.1</c:v>
                </c:pt>
                <c:pt idx="21">
                  <c:v>37.1</c:v>
                </c:pt>
                <c:pt idx="22">
                  <c:v>37.1</c:v>
                </c:pt>
                <c:pt idx="23">
                  <c:v>37.1</c:v>
                </c:pt>
                <c:pt idx="24">
                  <c:v>37.1</c:v>
                </c:pt>
                <c:pt idx="25">
                  <c:v>37.1</c:v>
                </c:pt>
                <c:pt idx="26">
                  <c:v>37.1</c:v>
                </c:pt>
                <c:pt idx="27">
                  <c:v>37.1</c:v>
                </c:pt>
                <c:pt idx="28">
                  <c:v>37.1</c:v>
                </c:pt>
                <c:pt idx="29">
                  <c:v>37.1</c:v>
                </c:pt>
                <c:pt idx="30">
                  <c:v>37.1</c:v>
                </c:pt>
                <c:pt idx="31">
                  <c:v>37.1</c:v>
                </c:pt>
                <c:pt idx="32">
                  <c:v>37.1</c:v>
                </c:pt>
                <c:pt idx="33">
                  <c:v>37.1</c:v>
                </c:pt>
                <c:pt idx="34">
                  <c:v>37.1</c:v>
                </c:pt>
                <c:pt idx="35">
                  <c:v>37.1</c:v>
                </c:pt>
                <c:pt idx="36">
                  <c:v>37.1</c:v>
                </c:pt>
                <c:pt idx="37">
                  <c:v>37.1</c:v>
                </c:pt>
                <c:pt idx="38">
                  <c:v>37.1</c:v>
                </c:pt>
                <c:pt idx="39">
                  <c:v>37.1</c:v>
                </c:pt>
                <c:pt idx="40">
                  <c:v>37.1</c:v>
                </c:pt>
                <c:pt idx="41">
                  <c:v>37.1</c:v>
                </c:pt>
                <c:pt idx="42">
                  <c:v>37.1</c:v>
                </c:pt>
                <c:pt idx="43">
                  <c:v>37.1</c:v>
                </c:pt>
                <c:pt idx="44">
                  <c:v>37.1</c:v>
                </c:pt>
                <c:pt idx="45">
                  <c:v>37.1</c:v>
                </c:pt>
                <c:pt idx="46">
                  <c:v>37.1</c:v>
                </c:pt>
                <c:pt idx="47">
                  <c:v>37.1</c:v>
                </c:pt>
                <c:pt idx="48">
                  <c:v>37.1</c:v>
                </c:pt>
                <c:pt idx="49">
                  <c:v>37.1</c:v>
                </c:pt>
                <c:pt idx="50">
                  <c:v>37.1</c:v>
                </c:pt>
                <c:pt idx="51">
                  <c:v>37.1</c:v>
                </c:pt>
                <c:pt idx="52">
                  <c:v>37.1</c:v>
                </c:pt>
                <c:pt idx="53">
                  <c:v>37.1</c:v>
                </c:pt>
                <c:pt idx="54">
                  <c:v>37.1</c:v>
                </c:pt>
                <c:pt idx="55">
                  <c:v>37.1</c:v>
                </c:pt>
                <c:pt idx="56">
                  <c:v>37.1</c:v>
                </c:pt>
                <c:pt idx="57">
                  <c:v>37.1</c:v>
                </c:pt>
                <c:pt idx="58">
                  <c:v>37.1</c:v>
                </c:pt>
                <c:pt idx="59">
                  <c:v>37.1</c:v>
                </c:pt>
                <c:pt idx="60">
                  <c:v>37.1</c:v>
                </c:pt>
                <c:pt idx="61">
                  <c:v>37.1</c:v>
                </c:pt>
                <c:pt idx="62">
                  <c:v>37.1</c:v>
                </c:pt>
                <c:pt idx="63">
                  <c:v>37.1</c:v>
                </c:pt>
                <c:pt idx="64">
                  <c:v>37.1</c:v>
                </c:pt>
                <c:pt idx="65">
                  <c:v>37.1</c:v>
                </c:pt>
                <c:pt idx="66">
                  <c:v>37.1</c:v>
                </c:pt>
                <c:pt idx="67">
                  <c:v>37.1</c:v>
                </c:pt>
                <c:pt idx="68">
                  <c:v>37.1</c:v>
                </c:pt>
                <c:pt idx="69">
                  <c:v>37.1</c:v>
                </c:pt>
                <c:pt idx="70">
                  <c:v>37.1</c:v>
                </c:pt>
                <c:pt idx="71">
                  <c:v>37.1</c:v>
                </c:pt>
                <c:pt idx="72">
                  <c:v>37.1</c:v>
                </c:pt>
                <c:pt idx="73">
                  <c:v>37.1</c:v>
                </c:pt>
                <c:pt idx="74">
                  <c:v>37.1</c:v>
                </c:pt>
                <c:pt idx="75">
                  <c:v>37.1</c:v>
                </c:pt>
                <c:pt idx="76">
                  <c:v>37.1</c:v>
                </c:pt>
                <c:pt idx="77">
                  <c:v>37.1</c:v>
                </c:pt>
                <c:pt idx="78">
                  <c:v>37.1</c:v>
                </c:pt>
                <c:pt idx="79">
                  <c:v>37.1</c:v>
                </c:pt>
                <c:pt idx="80">
                  <c:v>37.1</c:v>
                </c:pt>
                <c:pt idx="81">
                  <c:v>37.1</c:v>
                </c:pt>
                <c:pt idx="82">
                  <c:v>37.1</c:v>
                </c:pt>
                <c:pt idx="83">
                  <c:v>37.1</c:v>
                </c:pt>
                <c:pt idx="84">
                  <c:v>37.1</c:v>
                </c:pt>
                <c:pt idx="85">
                  <c:v>37.1</c:v>
                </c:pt>
                <c:pt idx="86">
                  <c:v>37.1</c:v>
                </c:pt>
                <c:pt idx="87">
                  <c:v>37.1</c:v>
                </c:pt>
                <c:pt idx="88">
                  <c:v>37.1</c:v>
                </c:pt>
                <c:pt idx="89">
                  <c:v>37.1</c:v>
                </c:pt>
                <c:pt idx="90">
                  <c:v>37.1</c:v>
                </c:pt>
                <c:pt idx="91">
                  <c:v>37.1</c:v>
                </c:pt>
                <c:pt idx="92">
                  <c:v>37.1</c:v>
                </c:pt>
                <c:pt idx="93">
                  <c:v>37.1</c:v>
                </c:pt>
                <c:pt idx="94">
                  <c:v>37.1</c:v>
                </c:pt>
                <c:pt idx="95">
                  <c:v>37.1</c:v>
                </c:pt>
                <c:pt idx="96">
                  <c:v>37.1</c:v>
                </c:pt>
                <c:pt idx="97">
                  <c:v>37.1</c:v>
                </c:pt>
                <c:pt idx="98">
                  <c:v>37.1</c:v>
                </c:pt>
              </c:numCache>
            </c:numRef>
          </c:val>
          <c:smooth val="0"/>
        </c:ser>
        <c:ser>
          <c:idx val="3"/>
          <c:order val="3"/>
          <c:tx>
            <c:strRef>
              <c:f>Sheet10!$D$1</c:f>
              <c:strCache>
                <c:ptCount val="1"/>
                <c:pt idx="0">
                  <c:v>Average Post-Test</c:v>
                </c:pt>
              </c:strCache>
            </c:strRef>
          </c:tx>
          <c:marker>
            <c:symbol val="none"/>
          </c:marker>
          <c:val>
            <c:numRef>
              <c:f>Sheet10!$D$2:$D$100</c:f>
              <c:numCache>
                <c:formatCode>General</c:formatCode>
                <c:ptCount val="99"/>
                <c:pt idx="0">
                  <c:v>68.5</c:v>
                </c:pt>
                <c:pt idx="1">
                  <c:v>68.5</c:v>
                </c:pt>
                <c:pt idx="2">
                  <c:v>68.5</c:v>
                </c:pt>
                <c:pt idx="3">
                  <c:v>68.5</c:v>
                </c:pt>
                <c:pt idx="4">
                  <c:v>68.5</c:v>
                </c:pt>
                <c:pt idx="5">
                  <c:v>68.5</c:v>
                </c:pt>
                <c:pt idx="6">
                  <c:v>68.5</c:v>
                </c:pt>
                <c:pt idx="7">
                  <c:v>68.5</c:v>
                </c:pt>
                <c:pt idx="8">
                  <c:v>68.5</c:v>
                </c:pt>
                <c:pt idx="9">
                  <c:v>68.5</c:v>
                </c:pt>
                <c:pt idx="10">
                  <c:v>68.5</c:v>
                </c:pt>
                <c:pt idx="11">
                  <c:v>68.5</c:v>
                </c:pt>
                <c:pt idx="12">
                  <c:v>68.5</c:v>
                </c:pt>
                <c:pt idx="13">
                  <c:v>68.5</c:v>
                </c:pt>
                <c:pt idx="14">
                  <c:v>68.5</c:v>
                </c:pt>
                <c:pt idx="15">
                  <c:v>68.5</c:v>
                </c:pt>
                <c:pt idx="16">
                  <c:v>68.5</c:v>
                </c:pt>
                <c:pt idx="17">
                  <c:v>68.5</c:v>
                </c:pt>
                <c:pt idx="18">
                  <c:v>68.5</c:v>
                </c:pt>
                <c:pt idx="19">
                  <c:v>68.5</c:v>
                </c:pt>
                <c:pt idx="20">
                  <c:v>68.5</c:v>
                </c:pt>
                <c:pt idx="21">
                  <c:v>68.5</c:v>
                </c:pt>
                <c:pt idx="22">
                  <c:v>68.5</c:v>
                </c:pt>
                <c:pt idx="23">
                  <c:v>68.5</c:v>
                </c:pt>
                <c:pt idx="24">
                  <c:v>68.5</c:v>
                </c:pt>
                <c:pt idx="25">
                  <c:v>68.5</c:v>
                </c:pt>
                <c:pt idx="26">
                  <c:v>68.5</c:v>
                </c:pt>
                <c:pt idx="27">
                  <c:v>68.5</c:v>
                </c:pt>
                <c:pt idx="28">
                  <c:v>68.5</c:v>
                </c:pt>
                <c:pt idx="29">
                  <c:v>68.5</c:v>
                </c:pt>
                <c:pt idx="30">
                  <c:v>68.5</c:v>
                </c:pt>
                <c:pt idx="31">
                  <c:v>68.5</c:v>
                </c:pt>
                <c:pt idx="32">
                  <c:v>68.5</c:v>
                </c:pt>
                <c:pt idx="33">
                  <c:v>68.5</c:v>
                </c:pt>
                <c:pt idx="34">
                  <c:v>68.5</c:v>
                </c:pt>
                <c:pt idx="35">
                  <c:v>68.5</c:v>
                </c:pt>
                <c:pt idx="36">
                  <c:v>68.5</c:v>
                </c:pt>
                <c:pt idx="37">
                  <c:v>68.5</c:v>
                </c:pt>
                <c:pt idx="38">
                  <c:v>68.5</c:v>
                </c:pt>
                <c:pt idx="39">
                  <c:v>68.5</c:v>
                </c:pt>
                <c:pt idx="40">
                  <c:v>68.5</c:v>
                </c:pt>
                <c:pt idx="41">
                  <c:v>68.5</c:v>
                </c:pt>
                <c:pt idx="42">
                  <c:v>68.5</c:v>
                </c:pt>
                <c:pt idx="43">
                  <c:v>68.5</c:v>
                </c:pt>
                <c:pt idx="44">
                  <c:v>68.5</c:v>
                </c:pt>
                <c:pt idx="45">
                  <c:v>68.5</c:v>
                </c:pt>
                <c:pt idx="46">
                  <c:v>68.5</c:v>
                </c:pt>
                <c:pt idx="47">
                  <c:v>68.5</c:v>
                </c:pt>
                <c:pt idx="48">
                  <c:v>68.5</c:v>
                </c:pt>
                <c:pt idx="49">
                  <c:v>68.5</c:v>
                </c:pt>
                <c:pt idx="50">
                  <c:v>68.5</c:v>
                </c:pt>
                <c:pt idx="51">
                  <c:v>68.5</c:v>
                </c:pt>
                <c:pt idx="52">
                  <c:v>68.5</c:v>
                </c:pt>
                <c:pt idx="53">
                  <c:v>68.5</c:v>
                </c:pt>
                <c:pt idx="54">
                  <c:v>68.5</c:v>
                </c:pt>
                <c:pt idx="55">
                  <c:v>68.5</c:v>
                </c:pt>
                <c:pt idx="56">
                  <c:v>68.5</c:v>
                </c:pt>
                <c:pt idx="57">
                  <c:v>68.5</c:v>
                </c:pt>
                <c:pt idx="58">
                  <c:v>68.5</c:v>
                </c:pt>
                <c:pt idx="59">
                  <c:v>68.5</c:v>
                </c:pt>
                <c:pt idx="60">
                  <c:v>68.5</c:v>
                </c:pt>
                <c:pt idx="61">
                  <c:v>68.5</c:v>
                </c:pt>
                <c:pt idx="62">
                  <c:v>68.5</c:v>
                </c:pt>
                <c:pt idx="63">
                  <c:v>68.5</c:v>
                </c:pt>
                <c:pt idx="64">
                  <c:v>68.5</c:v>
                </c:pt>
                <c:pt idx="65">
                  <c:v>68.5</c:v>
                </c:pt>
                <c:pt idx="66">
                  <c:v>68.5</c:v>
                </c:pt>
                <c:pt idx="67">
                  <c:v>68.5</c:v>
                </c:pt>
                <c:pt idx="68">
                  <c:v>68.5</c:v>
                </c:pt>
                <c:pt idx="69">
                  <c:v>68.5</c:v>
                </c:pt>
                <c:pt idx="70">
                  <c:v>68.5</c:v>
                </c:pt>
                <c:pt idx="71">
                  <c:v>68.5</c:v>
                </c:pt>
                <c:pt idx="72">
                  <c:v>68.5</c:v>
                </c:pt>
                <c:pt idx="73">
                  <c:v>68.5</c:v>
                </c:pt>
                <c:pt idx="74">
                  <c:v>68.5</c:v>
                </c:pt>
                <c:pt idx="75">
                  <c:v>68.5</c:v>
                </c:pt>
                <c:pt idx="76">
                  <c:v>68.5</c:v>
                </c:pt>
                <c:pt idx="77">
                  <c:v>68.5</c:v>
                </c:pt>
                <c:pt idx="78">
                  <c:v>68.5</c:v>
                </c:pt>
                <c:pt idx="79">
                  <c:v>68.5</c:v>
                </c:pt>
                <c:pt idx="80">
                  <c:v>68.5</c:v>
                </c:pt>
                <c:pt idx="81">
                  <c:v>68.5</c:v>
                </c:pt>
                <c:pt idx="82">
                  <c:v>68.5</c:v>
                </c:pt>
                <c:pt idx="83">
                  <c:v>68.5</c:v>
                </c:pt>
                <c:pt idx="84">
                  <c:v>68.5</c:v>
                </c:pt>
                <c:pt idx="85">
                  <c:v>68.5</c:v>
                </c:pt>
                <c:pt idx="86">
                  <c:v>68.5</c:v>
                </c:pt>
                <c:pt idx="87">
                  <c:v>68.5</c:v>
                </c:pt>
                <c:pt idx="88">
                  <c:v>68.5</c:v>
                </c:pt>
                <c:pt idx="89">
                  <c:v>68.5</c:v>
                </c:pt>
                <c:pt idx="90">
                  <c:v>68.5</c:v>
                </c:pt>
                <c:pt idx="91">
                  <c:v>68.5</c:v>
                </c:pt>
                <c:pt idx="92">
                  <c:v>68.5</c:v>
                </c:pt>
                <c:pt idx="93">
                  <c:v>68.5</c:v>
                </c:pt>
                <c:pt idx="94">
                  <c:v>68.5</c:v>
                </c:pt>
                <c:pt idx="95">
                  <c:v>68.5</c:v>
                </c:pt>
                <c:pt idx="96">
                  <c:v>68.5</c:v>
                </c:pt>
                <c:pt idx="97">
                  <c:v>68.5</c:v>
                </c:pt>
                <c:pt idx="98">
                  <c:v>68.5</c:v>
                </c:pt>
              </c:numCache>
            </c:numRef>
          </c:val>
          <c:smooth val="0"/>
        </c:ser>
        <c:dLbls>
          <c:showLegendKey val="0"/>
          <c:showVal val="0"/>
          <c:showCatName val="0"/>
          <c:showSerName val="0"/>
          <c:showPercent val="0"/>
          <c:showBubbleSize val="0"/>
        </c:dLbls>
        <c:marker val="1"/>
        <c:smooth val="0"/>
        <c:axId val="67503616"/>
        <c:axId val="67505536"/>
      </c:lineChart>
      <c:catAx>
        <c:axId val="67503616"/>
        <c:scaling>
          <c:orientation val="minMax"/>
        </c:scaling>
        <c:delete val="0"/>
        <c:axPos val="b"/>
        <c:title>
          <c:tx>
            <c:rich>
              <a:bodyPr/>
              <a:lstStyle/>
              <a:p>
                <a:pPr>
                  <a:defRPr/>
                </a:pPr>
                <a:r>
                  <a:rPr lang="en-US"/>
                  <a:t>Students</a:t>
                </a:r>
              </a:p>
            </c:rich>
          </c:tx>
          <c:overlay val="0"/>
        </c:title>
        <c:majorTickMark val="out"/>
        <c:minorTickMark val="none"/>
        <c:tickLblPos val="nextTo"/>
        <c:crossAx val="67505536"/>
        <c:crosses val="autoZero"/>
        <c:auto val="1"/>
        <c:lblAlgn val="ctr"/>
        <c:lblOffset val="100"/>
        <c:noMultiLvlLbl val="0"/>
      </c:catAx>
      <c:valAx>
        <c:axId val="67505536"/>
        <c:scaling>
          <c:orientation val="minMax"/>
        </c:scaling>
        <c:delete val="0"/>
        <c:axPos val="l"/>
        <c:majorGridlines/>
        <c:title>
          <c:tx>
            <c:rich>
              <a:bodyPr rot="-5400000" vert="horz"/>
              <a:lstStyle/>
              <a:p>
                <a:pPr>
                  <a:defRPr/>
                </a:pPr>
                <a:r>
                  <a:rPr lang="en-US"/>
                  <a:t>Grades</a:t>
                </a:r>
                <a:r>
                  <a:rPr lang="en-US" baseline="0"/>
                  <a:t> as a Percentage (%)</a:t>
                </a:r>
                <a:endParaRPr lang="en-US"/>
              </a:p>
            </c:rich>
          </c:tx>
          <c:overlay val="0"/>
        </c:title>
        <c:numFmt formatCode="General" sourceLinked="1"/>
        <c:majorTickMark val="out"/>
        <c:minorTickMark val="none"/>
        <c:tickLblPos val="nextTo"/>
        <c:crossAx val="6750361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Overall - Math 101S</c:v>
          </c:tx>
          <c:dLbls>
            <c:showLegendKey val="0"/>
            <c:showVal val="0"/>
            <c:showCatName val="1"/>
            <c:showSerName val="0"/>
            <c:showPercent val="1"/>
            <c:showBubbleSize val="0"/>
            <c:showLeaderLines val="1"/>
          </c:dLbls>
          <c:cat>
            <c:strRef>
              <c:f>Sheet7!$L$2:$L$5</c:f>
              <c:strCache>
                <c:ptCount val="4"/>
                <c:pt idx="0">
                  <c:v>Pass</c:v>
                </c:pt>
                <c:pt idx="1">
                  <c:v>Failed</c:v>
                </c:pt>
                <c:pt idx="2">
                  <c:v>Quit</c:v>
                </c:pt>
                <c:pt idx="3">
                  <c:v>Withdrawn</c:v>
                </c:pt>
              </c:strCache>
            </c:strRef>
          </c:cat>
          <c:val>
            <c:numRef>
              <c:f>Sheet7!$M$2:$M$5</c:f>
              <c:numCache>
                <c:formatCode>General</c:formatCode>
                <c:ptCount val="4"/>
                <c:pt idx="0">
                  <c:v>101</c:v>
                </c:pt>
                <c:pt idx="1">
                  <c:v>15</c:v>
                </c:pt>
                <c:pt idx="2">
                  <c:v>42</c:v>
                </c:pt>
                <c:pt idx="3">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Instructor B</c:v>
          </c:tx>
          <c:dLbls>
            <c:showLegendKey val="0"/>
            <c:showVal val="0"/>
            <c:showCatName val="1"/>
            <c:showSerName val="0"/>
            <c:showPercent val="1"/>
            <c:showBubbleSize val="0"/>
            <c:showLeaderLines val="1"/>
          </c:dLbls>
          <c:cat>
            <c:strRef>
              <c:f>Sheet4!$J$3:$J$5</c:f>
              <c:strCache>
                <c:ptCount val="3"/>
                <c:pt idx="0">
                  <c:v>Pass</c:v>
                </c:pt>
                <c:pt idx="1">
                  <c:v>Fail</c:v>
                </c:pt>
                <c:pt idx="2">
                  <c:v>W-drew</c:v>
                </c:pt>
              </c:strCache>
            </c:strRef>
          </c:cat>
          <c:val>
            <c:numRef>
              <c:f>Sheet4!$K$3:$K$5</c:f>
              <c:numCache>
                <c:formatCode>General</c:formatCode>
                <c:ptCount val="3"/>
                <c:pt idx="0">
                  <c:v>22</c:v>
                </c:pt>
                <c:pt idx="1">
                  <c:v>21</c:v>
                </c:pt>
                <c:pt idx="2">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FFB9-060E-40DD-8E42-1E43916F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6764</Words>
  <Characters>38556</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45230</CharactersWithSpaces>
  <SharedDoc>false</SharedDoc>
  <HLinks>
    <vt:vector size="6" baseType="variant">
      <vt:variant>
        <vt:i4>5111827</vt:i4>
      </vt:variant>
      <vt:variant>
        <vt:i4>0</vt:i4>
      </vt:variant>
      <vt:variant>
        <vt:i4>0</vt:i4>
      </vt:variant>
      <vt:variant>
        <vt:i4>5</vt:i4>
      </vt:variant>
      <vt:variant>
        <vt:lpwstr>http://www.trinitydc.edu/policies/course-attendance/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Sheridan</dc:creator>
  <cp:lastModifiedBy>toliverk</cp:lastModifiedBy>
  <cp:revision>2</cp:revision>
  <cp:lastPrinted>2013-01-10T19:46:00Z</cp:lastPrinted>
  <dcterms:created xsi:type="dcterms:W3CDTF">2014-03-28T20:55:00Z</dcterms:created>
  <dcterms:modified xsi:type="dcterms:W3CDTF">2014-03-28T20:55:00Z</dcterms:modified>
</cp:coreProperties>
</file>