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0A" w:rsidRPr="005F1FA4" w:rsidRDefault="0045154D" w:rsidP="009213D9">
      <w:pPr>
        <w:pStyle w:val="CompanyName"/>
        <w:framePr w:h="1920" w:wrap="notBeside" w:anchorLock="1"/>
        <w:rPr>
          <w:rFonts w:ascii="Times New Roman" w:hAnsi="Times New Roman"/>
        </w:rPr>
      </w:pPr>
      <w:bookmarkStart w:id="0" w:name="_GoBack"/>
      <w:bookmarkEnd w:id="0"/>
      <w:r w:rsidRPr="005F1FA4">
        <w:rPr>
          <w:rFonts w:ascii="Times New Roman" w:hAnsi="Times New Roman"/>
          <w:noProof/>
        </w:rPr>
        <w:drawing>
          <wp:inline distT="0" distB="0" distL="0" distR="0" wp14:anchorId="77D67C0D" wp14:editId="7A61F0AF">
            <wp:extent cx="3874921" cy="1000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 in 2-color Small.jpg"/>
                    <pic:cNvPicPr/>
                  </pic:nvPicPr>
                  <pic:blipFill>
                    <a:blip r:embed="rId9">
                      <a:extLst>
                        <a:ext uri="{28A0092B-C50C-407E-A947-70E740481C1C}">
                          <a14:useLocalDpi xmlns:a14="http://schemas.microsoft.com/office/drawing/2010/main" val="0"/>
                        </a:ext>
                      </a:extLst>
                    </a:blip>
                    <a:stretch>
                      <a:fillRect/>
                    </a:stretch>
                  </pic:blipFill>
                  <pic:spPr>
                    <a:xfrm>
                      <a:off x="0" y="0"/>
                      <a:ext cx="3891876" cy="1004501"/>
                    </a:xfrm>
                    <a:prstGeom prst="rect">
                      <a:avLst/>
                    </a:prstGeom>
                  </pic:spPr>
                </pic:pic>
              </a:graphicData>
            </a:graphic>
          </wp:inline>
        </w:drawing>
      </w:r>
    </w:p>
    <w:p w:rsidR="001B540A" w:rsidRPr="005F1FA4" w:rsidRDefault="00082381">
      <w:pPr>
        <w:pStyle w:val="TitleCover"/>
        <w:rPr>
          <w:rFonts w:ascii="Times New Roman" w:hAnsi="Times New Roman"/>
        </w:rPr>
      </w:pPr>
      <w:r w:rsidRPr="005F1FA4">
        <w:rPr>
          <w:rFonts w:ascii="Times New Roman" w:hAnsi="Times New Roman"/>
        </w:rPr>
        <w:t xml:space="preserve">CORE CURRICULUM            </w:t>
      </w:r>
      <w:r w:rsidR="005A0328" w:rsidRPr="005F1FA4">
        <w:rPr>
          <w:rFonts w:ascii="Times New Roman" w:hAnsi="Times New Roman"/>
        </w:rPr>
        <w:t xml:space="preserve"> </w:t>
      </w:r>
      <w:r w:rsidR="00F80649" w:rsidRPr="005F1FA4">
        <w:rPr>
          <w:rFonts w:ascii="Times New Roman" w:hAnsi="Times New Roman"/>
        </w:rPr>
        <w:t xml:space="preserve">ASSESSMENT </w:t>
      </w:r>
      <w:r w:rsidR="005A0328" w:rsidRPr="005F1FA4">
        <w:rPr>
          <w:rFonts w:ascii="Times New Roman" w:hAnsi="Times New Roman"/>
        </w:rPr>
        <w:t>REPORT</w:t>
      </w:r>
    </w:p>
    <w:p w:rsidR="001B540A" w:rsidRPr="005F1FA4" w:rsidRDefault="005A0328">
      <w:pPr>
        <w:pStyle w:val="SubtitleCover"/>
        <w:rPr>
          <w:rFonts w:ascii="Times New Roman" w:hAnsi="Times New Roman"/>
        </w:rPr>
      </w:pPr>
      <w:r w:rsidRPr="005F1FA4">
        <w:rPr>
          <w:rFonts w:ascii="Times New Roman" w:hAnsi="Times New Roman"/>
        </w:rPr>
        <w:t>SCHOOL OF PROFESSIONAL STUDIES</w:t>
      </w:r>
    </w:p>
    <w:p w:rsidR="001B540A" w:rsidRPr="005F1FA4" w:rsidRDefault="001B540A" w:rsidP="009213D9">
      <w:pPr>
        <w:rPr>
          <w:rFonts w:ascii="Times New Roman" w:hAnsi="Times New Roman"/>
        </w:rPr>
      </w:pPr>
    </w:p>
    <w:p w:rsidR="001B540A" w:rsidRPr="005F1FA4" w:rsidRDefault="00E51137">
      <w:pPr>
        <w:pStyle w:val="Title"/>
        <w:rPr>
          <w:rFonts w:ascii="Times New Roman" w:hAnsi="Times New Roman"/>
          <w:sz w:val="24"/>
          <w:szCs w:val="24"/>
        </w:rPr>
      </w:pPr>
      <w:r w:rsidRPr="005F1FA4">
        <w:rPr>
          <w:rFonts w:ascii="Times New Roman" w:hAnsi="Times New Roman"/>
          <w:noProof/>
        </w:rPr>
        <mc:AlternateContent>
          <mc:Choice Requires="wps">
            <w:drawing>
              <wp:anchor distT="0" distB="0" distL="114300" distR="114300" simplePos="0" relativeHeight="251657728" behindDoc="0" locked="0" layoutInCell="1" allowOverlap="1" wp14:anchorId="1A5B746B" wp14:editId="418DF6AD">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FAF" w:rsidRPr="004702A4" w:rsidRDefault="00494DA6" w:rsidP="009213D9">
                            <w:pPr>
                              <w:pStyle w:val="CompanyName"/>
                              <w:rPr>
                                <w:rFonts w:asciiTheme="minorHAnsi" w:hAnsiTheme="minorHAnsi"/>
                              </w:rPr>
                            </w:pPr>
                            <w:r>
                              <w:rPr>
                                <w:rFonts w:asciiTheme="minorHAnsi" w:hAnsiTheme="minorHAnsi"/>
                              </w:rPr>
                              <w:t>December 15</w:t>
                            </w:r>
                            <w:r w:rsidR="00796FAF" w:rsidRPr="004702A4">
                              <w:rPr>
                                <w:rFonts w:asciiTheme="minorHAnsi" w:hAnsiTheme="minorHAnsi"/>
                              </w:rPr>
                              <w:t>, 2014</w:t>
                            </w:r>
                          </w:p>
                          <w:p w:rsidR="00796FAF" w:rsidRDefault="00796FAF"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796FAF" w:rsidRPr="004702A4" w:rsidRDefault="00494DA6" w:rsidP="009213D9">
                      <w:pPr>
                        <w:pStyle w:val="CompanyName"/>
                        <w:rPr>
                          <w:rFonts w:asciiTheme="minorHAnsi" w:hAnsiTheme="minorHAnsi"/>
                        </w:rPr>
                      </w:pPr>
                      <w:r>
                        <w:rPr>
                          <w:rFonts w:asciiTheme="minorHAnsi" w:hAnsiTheme="minorHAnsi"/>
                        </w:rPr>
                        <w:t>December 15</w:t>
                      </w:r>
                      <w:r w:rsidR="00796FAF" w:rsidRPr="004702A4">
                        <w:rPr>
                          <w:rFonts w:asciiTheme="minorHAnsi" w:hAnsiTheme="minorHAnsi"/>
                        </w:rPr>
                        <w:t>, 2014</w:t>
                      </w:r>
                    </w:p>
                    <w:p w:rsidR="00796FAF" w:rsidRDefault="00796FAF" w:rsidP="009213D9">
                      <w:pPr>
                        <w:pStyle w:val="CompanyName"/>
                      </w:pPr>
                    </w:p>
                  </w:txbxContent>
                </v:textbox>
                <w10:wrap anchorx="page" anchory="page"/>
              </v:shape>
            </w:pict>
          </mc:Fallback>
        </mc:AlternateContent>
      </w:r>
      <w:r w:rsidR="001B540A" w:rsidRPr="005F1FA4">
        <w:rPr>
          <w:rFonts w:ascii="Times New Roman" w:hAnsi="Times New Roman"/>
        </w:rPr>
        <w:br w:type="page"/>
      </w:r>
    </w:p>
    <w:p w:rsidR="001B540A" w:rsidRPr="006F7E1F" w:rsidRDefault="005A0328">
      <w:pPr>
        <w:pStyle w:val="Heading1"/>
        <w:rPr>
          <w:rFonts w:ascii="Times New Roman" w:hAnsi="Times New Roman"/>
          <w:sz w:val="24"/>
          <w:szCs w:val="24"/>
        </w:rPr>
      </w:pPr>
      <w:r w:rsidRPr="006F7E1F">
        <w:rPr>
          <w:rFonts w:ascii="Times New Roman" w:hAnsi="Times New Roman"/>
          <w:sz w:val="24"/>
          <w:szCs w:val="24"/>
        </w:rPr>
        <w:lastRenderedPageBreak/>
        <w:t>summary</w:t>
      </w:r>
    </w:p>
    <w:p w:rsidR="001F1BDA" w:rsidRPr="006F7E1F" w:rsidRDefault="00985923" w:rsidP="00314261">
      <w:pPr>
        <w:pStyle w:val="BodyText"/>
        <w:ind w:firstLine="0"/>
        <w:rPr>
          <w:rFonts w:ascii="Times New Roman" w:hAnsi="Times New Roman"/>
          <w:sz w:val="24"/>
          <w:szCs w:val="24"/>
        </w:rPr>
      </w:pPr>
      <w:r w:rsidRPr="006F7E1F">
        <w:rPr>
          <w:rFonts w:ascii="Times New Roman" w:hAnsi="Times New Roman"/>
          <w:sz w:val="24"/>
          <w:szCs w:val="24"/>
        </w:rPr>
        <w:t>The School of Professional Studies collects a wide range of qualitative and quantitative data that provide both direct and indirect measures of</w:t>
      </w:r>
      <w:r w:rsidR="00F52962" w:rsidRPr="006F7E1F">
        <w:rPr>
          <w:rFonts w:ascii="Times New Roman" w:hAnsi="Times New Roman"/>
          <w:sz w:val="24"/>
          <w:szCs w:val="24"/>
        </w:rPr>
        <w:t xml:space="preserve"> students’ learning throughout its</w:t>
      </w:r>
      <w:r w:rsidRPr="006F7E1F">
        <w:rPr>
          <w:rFonts w:ascii="Times New Roman" w:hAnsi="Times New Roman"/>
          <w:sz w:val="24"/>
          <w:szCs w:val="24"/>
        </w:rPr>
        <w:t xml:space="preserve"> academic </w:t>
      </w:r>
      <w:r w:rsidR="006C0C42" w:rsidRPr="006F7E1F">
        <w:rPr>
          <w:rFonts w:ascii="Times New Roman" w:hAnsi="Times New Roman"/>
          <w:sz w:val="24"/>
          <w:szCs w:val="24"/>
        </w:rPr>
        <w:t>programs</w:t>
      </w:r>
      <w:r w:rsidRPr="006F7E1F">
        <w:rPr>
          <w:rFonts w:ascii="Times New Roman" w:hAnsi="Times New Roman"/>
          <w:sz w:val="24"/>
          <w:szCs w:val="24"/>
        </w:rPr>
        <w:t xml:space="preserve">. At the course and program levels, measurement of student achievement is ongoing through course-embedded assessment and regularly-scheduled program reviews. </w:t>
      </w:r>
      <w:r w:rsidR="006F7E1F" w:rsidRPr="006F7E1F">
        <w:rPr>
          <w:rFonts w:ascii="Times New Roman" w:hAnsi="Times New Roman"/>
          <w:sz w:val="24"/>
          <w:szCs w:val="24"/>
        </w:rPr>
        <w:t xml:space="preserve"> Additionally, SPS </w:t>
      </w:r>
      <w:r w:rsidR="00F52962" w:rsidRPr="006F7E1F">
        <w:rPr>
          <w:rFonts w:ascii="Times New Roman" w:hAnsi="Times New Roman"/>
          <w:sz w:val="24"/>
          <w:szCs w:val="24"/>
        </w:rPr>
        <w:t xml:space="preserve">has been collecting data for the assessment of the Core Curriculum.  The data will be used to determine to what extent the courses are meeting the General Education learning outcomes. </w:t>
      </w:r>
      <w:r w:rsidR="006F7E1F" w:rsidRPr="006F7E1F">
        <w:rPr>
          <w:rFonts w:ascii="Times New Roman" w:hAnsi="Times New Roman"/>
          <w:sz w:val="24"/>
          <w:szCs w:val="24"/>
        </w:rPr>
        <w:t xml:space="preserve"> </w:t>
      </w:r>
      <w:r w:rsidR="00F52962" w:rsidRPr="006F7E1F">
        <w:rPr>
          <w:rFonts w:ascii="Times New Roman" w:hAnsi="Times New Roman"/>
          <w:sz w:val="24"/>
          <w:szCs w:val="24"/>
        </w:rPr>
        <w:t>Each department and faculty will review the data on their courses and use the insights gained to inform teaching practices and curriculum reform.</w:t>
      </w:r>
      <w:r w:rsidR="00D519EA" w:rsidRPr="006F7E1F">
        <w:rPr>
          <w:rFonts w:ascii="Times New Roman" w:hAnsi="Times New Roman"/>
          <w:sz w:val="24"/>
          <w:szCs w:val="24"/>
        </w:rPr>
        <w:t xml:space="preserve"> </w:t>
      </w:r>
    </w:p>
    <w:p w:rsidR="00082381" w:rsidRPr="006F7E1F" w:rsidRDefault="00445BBD" w:rsidP="00082381">
      <w:pPr>
        <w:pStyle w:val="Heading1"/>
        <w:rPr>
          <w:rFonts w:ascii="Times New Roman" w:hAnsi="Times New Roman"/>
          <w:sz w:val="24"/>
          <w:szCs w:val="24"/>
        </w:rPr>
      </w:pPr>
      <w:r w:rsidRPr="006F7E1F">
        <w:rPr>
          <w:rFonts w:ascii="Times New Roman" w:hAnsi="Times New Roman"/>
          <w:sz w:val="24"/>
          <w:szCs w:val="24"/>
        </w:rPr>
        <w:t>The general education program</w:t>
      </w:r>
    </w:p>
    <w:p w:rsidR="006E19BE" w:rsidRPr="006F7E1F" w:rsidRDefault="006C5531" w:rsidP="005F1FA4">
      <w:pPr>
        <w:autoSpaceDE w:val="0"/>
        <w:autoSpaceDN w:val="0"/>
        <w:adjustRightInd w:val="0"/>
        <w:jc w:val="both"/>
        <w:rPr>
          <w:rFonts w:ascii="Times New Roman" w:hAnsi="Times New Roman"/>
          <w:sz w:val="24"/>
          <w:szCs w:val="24"/>
        </w:rPr>
      </w:pPr>
      <w:r w:rsidRPr="006F7E1F">
        <w:rPr>
          <w:rFonts w:ascii="Times New Roman" w:hAnsi="Times New Roman"/>
          <w:sz w:val="24"/>
          <w:szCs w:val="24"/>
        </w:rPr>
        <w:t>The Core Curriculum in the School of Professional Studies (SPS) supports Trinity’s commitment to lifelong learning</w:t>
      </w:r>
      <w:r w:rsidR="00D519EA" w:rsidRPr="006F7E1F">
        <w:rPr>
          <w:rFonts w:ascii="Times New Roman" w:hAnsi="Times New Roman"/>
          <w:sz w:val="24"/>
          <w:szCs w:val="24"/>
        </w:rPr>
        <w:t>,</w:t>
      </w:r>
      <w:r w:rsidRPr="006F7E1F">
        <w:rPr>
          <w:rFonts w:ascii="Times New Roman" w:hAnsi="Times New Roman"/>
          <w:sz w:val="24"/>
          <w:szCs w:val="24"/>
        </w:rPr>
        <w:t xml:space="preserve"> by providing adult students with a course of study that grounds professional preparation in liberal arts knowledge and values. </w:t>
      </w:r>
      <w:r w:rsidR="00D519EA" w:rsidRPr="006F7E1F">
        <w:rPr>
          <w:rFonts w:ascii="Times New Roman" w:hAnsi="Times New Roman"/>
          <w:sz w:val="24"/>
          <w:szCs w:val="24"/>
        </w:rPr>
        <w:t xml:space="preserve"> Further, t</w:t>
      </w:r>
      <w:r w:rsidR="006E19BE" w:rsidRPr="006F7E1F">
        <w:rPr>
          <w:rFonts w:ascii="Times New Roman" w:hAnsi="Times New Roman"/>
          <w:sz w:val="24"/>
          <w:szCs w:val="24"/>
        </w:rPr>
        <w:t xml:space="preserve">he Core expresses the mission of Trinity by providing adult students with a strong foundation in the liberal arts while promoting their professional development through a focus on applied learning. </w:t>
      </w:r>
      <w:r w:rsidRPr="006F7E1F">
        <w:rPr>
          <w:rFonts w:ascii="Times New Roman" w:hAnsi="Times New Roman"/>
          <w:sz w:val="24"/>
          <w:szCs w:val="24"/>
        </w:rPr>
        <w:t>The</w:t>
      </w:r>
      <w:r w:rsidR="006E19BE" w:rsidRPr="006F7E1F">
        <w:rPr>
          <w:rFonts w:ascii="Times New Roman" w:hAnsi="Times New Roman"/>
          <w:sz w:val="24"/>
          <w:szCs w:val="24"/>
        </w:rPr>
        <w:t xml:space="preserve"> Core emphasizes building the essential skills and values that promote life-long learning, critical thinking, and social responsibility. </w:t>
      </w:r>
      <w:r w:rsidRPr="006F7E1F">
        <w:rPr>
          <w:rFonts w:ascii="Times New Roman" w:hAnsi="Times New Roman"/>
          <w:sz w:val="24"/>
          <w:szCs w:val="24"/>
        </w:rPr>
        <w:t xml:space="preserve"> </w:t>
      </w:r>
      <w:r w:rsidR="005F1FA4" w:rsidRPr="006F7E1F">
        <w:rPr>
          <w:rFonts w:ascii="Times New Roman" w:hAnsi="Times New Roman"/>
          <w:sz w:val="24"/>
          <w:szCs w:val="24"/>
        </w:rPr>
        <w:t xml:space="preserve">The Core does not state explicit student learning goals. Its goals are framed in terms of what the curriculum will deliver rather than in terms of what students will learn.  Nevertheless, student learning expectations are implicit in these goals. </w:t>
      </w:r>
      <w:r w:rsidR="006E19BE" w:rsidRPr="006F7E1F">
        <w:rPr>
          <w:rFonts w:ascii="Times New Roman" w:hAnsi="Times New Roman"/>
          <w:sz w:val="24"/>
          <w:szCs w:val="24"/>
        </w:rPr>
        <w:t>The Core aims to:</w:t>
      </w:r>
    </w:p>
    <w:p w:rsidR="006E19BE" w:rsidRPr="006F7E1F" w:rsidRDefault="006E19BE" w:rsidP="006E19BE">
      <w:pPr>
        <w:autoSpaceDE w:val="0"/>
        <w:autoSpaceDN w:val="0"/>
        <w:adjustRightInd w:val="0"/>
        <w:jc w:val="both"/>
        <w:rPr>
          <w:rFonts w:ascii="Times New Roman" w:hAnsi="Times New Roman"/>
          <w:sz w:val="24"/>
          <w:szCs w:val="24"/>
        </w:rPr>
      </w:pPr>
    </w:p>
    <w:p w:rsidR="006E19BE" w:rsidRPr="006F7E1F" w:rsidRDefault="006E19BE" w:rsidP="006E19BE">
      <w:pPr>
        <w:autoSpaceDE w:val="0"/>
        <w:autoSpaceDN w:val="0"/>
        <w:adjustRightInd w:val="0"/>
        <w:ind w:left="720"/>
        <w:jc w:val="both"/>
        <w:rPr>
          <w:rFonts w:ascii="Times New Roman" w:hAnsi="Times New Roman"/>
          <w:sz w:val="24"/>
          <w:szCs w:val="24"/>
        </w:rPr>
      </w:pPr>
      <w:r w:rsidRPr="006F7E1F">
        <w:rPr>
          <w:rFonts w:ascii="Times New Roman" w:hAnsi="Times New Roman"/>
          <w:sz w:val="24"/>
          <w:szCs w:val="24"/>
        </w:rPr>
        <w:t>• Promote breadth of study, exposure to a broad range of liberal arts disciplines, and understanding of interdisciplinary relationships;</w:t>
      </w:r>
    </w:p>
    <w:p w:rsidR="006E19BE" w:rsidRPr="006F7E1F" w:rsidRDefault="006E19BE" w:rsidP="006E19BE">
      <w:pPr>
        <w:autoSpaceDE w:val="0"/>
        <w:autoSpaceDN w:val="0"/>
        <w:adjustRightInd w:val="0"/>
        <w:ind w:left="720"/>
        <w:jc w:val="both"/>
        <w:rPr>
          <w:rFonts w:ascii="Times New Roman" w:hAnsi="Times New Roman"/>
          <w:sz w:val="24"/>
          <w:szCs w:val="24"/>
        </w:rPr>
      </w:pPr>
    </w:p>
    <w:p w:rsidR="006E19BE" w:rsidRPr="006F7E1F" w:rsidRDefault="006E19BE" w:rsidP="006E19BE">
      <w:pPr>
        <w:autoSpaceDE w:val="0"/>
        <w:autoSpaceDN w:val="0"/>
        <w:adjustRightInd w:val="0"/>
        <w:ind w:left="720"/>
        <w:jc w:val="both"/>
        <w:rPr>
          <w:rFonts w:ascii="Times New Roman" w:hAnsi="Times New Roman"/>
          <w:sz w:val="24"/>
          <w:szCs w:val="24"/>
        </w:rPr>
      </w:pPr>
      <w:r w:rsidRPr="006F7E1F">
        <w:rPr>
          <w:rFonts w:ascii="Times New Roman" w:hAnsi="Times New Roman"/>
          <w:sz w:val="24"/>
          <w:szCs w:val="24"/>
        </w:rPr>
        <w:t>• Provide a foundation for specialized study in a major;</w:t>
      </w:r>
    </w:p>
    <w:p w:rsidR="006E19BE" w:rsidRPr="006F7E1F" w:rsidRDefault="006E19BE" w:rsidP="006E19BE">
      <w:pPr>
        <w:autoSpaceDE w:val="0"/>
        <w:autoSpaceDN w:val="0"/>
        <w:adjustRightInd w:val="0"/>
        <w:ind w:left="720"/>
        <w:jc w:val="both"/>
        <w:rPr>
          <w:rFonts w:ascii="Times New Roman" w:hAnsi="Times New Roman"/>
          <w:sz w:val="24"/>
          <w:szCs w:val="24"/>
        </w:rPr>
      </w:pPr>
    </w:p>
    <w:p w:rsidR="006E19BE" w:rsidRPr="006F7E1F" w:rsidRDefault="006E19BE" w:rsidP="006E19BE">
      <w:pPr>
        <w:autoSpaceDE w:val="0"/>
        <w:autoSpaceDN w:val="0"/>
        <w:adjustRightInd w:val="0"/>
        <w:ind w:left="720"/>
        <w:jc w:val="both"/>
        <w:rPr>
          <w:rFonts w:ascii="Times New Roman" w:hAnsi="Times New Roman"/>
          <w:sz w:val="24"/>
          <w:szCs w:val="24"/>
        </w:rPr>
      </w:pPr>
      <w:r w:rsidRPr="006F7E1F">
        <w:rPr>
          <w:rFonts w:ascii="Times New Roman" w:hAnsi="Times New Roman"/>
          <w:sz w:val="24"/>
          <w:szCs w:val="24"/>
        </w:rPr>
        <w:t>• Ensure a common body of knowledge to which students and faculty can relate subsequent studies;</w:t>
      </w:r>
    </w:p>
    <w:p w:rsidR="006C5531" w:rsidRPr="006F7E1F" w:rsidRDefault="006C5531" w:rsidP="006E19BE">
      <w:pPr>
        <w:autoSpaceDE w:val="0"/>
        <w:autoSpaceDN w:val="0"/>
        <w:adjustRightInd w:val="0"/>
        <w:ind w:left="720"/>
        <w:jc w:val="both"/>
        <w:rPr>
          <w:rFonts w:ascii="Times New Roman" w:hAnsi="Times New Roman"/>
          <w:sz w:val="24"/>
          <w:szCs w:val="24"/>
        </w:rPr>
      </w:pPr>
    </w:p>
    <w:p w:rsidR="006E19BE" w:rsidRPr="006F7E1F" w:rsidRDefault="006E19BE" w:rsidP="006E19BE">
      <w:pPr>
        <w:autoSpaceDE w:val="0"/>
        <w:autoSpaceDN w:val="0"/>
        <w:adjustRightInd w:val="0"/>
        <w:ind w:left="720"/>
        <w:jc w:val="both"/>
        <w:rPr>
          <w:rFonts w:ascii="Times New Roman" w:hAnsi="Times New Roman"/>
          <w:sz w:val="24"/>
          <w:szCs w:val="24"/>
        </w:rPr>
      </w:pPr>
      <w:r w:rsidRPr="006F7E1F">
        <w:rPr>
          <w:rFonts w:ascii="Times New Roman" w:hAnsi="Times New Roman"/>
          <w:sz w:val="24"/>
          <w:szCs w:val="24"/>
        </w:rPr>
        <w:t>• Develop essential skills for advanced study and lifelong learning.</w:t>
      </w:r>
    </w:p>
    <w:p w:rsidR="006E19BE" w:rsidRPr="006F7E1F" w:rsidRDefault="006E19BE" w:rsidP="006E19BE">
      <w:pPr>
        <w:autoSpaceDE w:val="0"/>
        <w:autoSpaceDN w:val="0"/>
        <w:adjustRightInd w:val="0"/>
        <w:jc w:val="both"/>
        <w:rPr>
          <w:rFonts w:ascii="Times New Roman" w:hAnsi="Times New Roman"/>
          <w:sz w:val="24"/>
          <w:szCs w:val="24"/>
        </w:rPr>
      </w:pPr>
    </w:p>
    <w:p w:rsidR="005D1485" w:rsidRPr="006F7E1F" w:rsidRDefault="006E19BE" w:rsidP="006E19BE">
      <w:pPr>
        <w:autoSpaceDE w:val="0"/>
        <w:autoSpaceDN w:val="0"/>
        <w:adjustRightInd w:val="0"/>
        <w:jc w:val="both"/>
        <w:rPr>
          <w:rFonts w:ascii="Times New Roman" w:hAnsi="Times New Roman"/>
          <w:sz w:val="24"/>
          <w:szCs w:val="24"/>
        </w:rPr>
      </w:pPr>
      <w:r w:rsidRPr="006F7E1F">
        <w:rPr>
          <w:rFonts w:ascii="Times New Roman" w:hAnsi="Times New Roman"/>
          <w:sz w:val="24"/>
          <w:szCs w:val="24"/>
        </w:rPr>
        <w:t xml:space="preserve">The Core pursues these goals through a curricular design intended to meet the educational needs of adult working students. The design is both straightforward and flexible. It requires coursework in </w:t>
      </w:r>
      <w:r w:rsidR="005D1485" w:rsidRPr="006F7E1F">
        <w:rPr>
          <w:rFonts w:ascii="Times New Roman" w:hAnsi="Times New Roman"/>
          <w:sz w:val="24"/>
          <w:szCs w:val="24"/>
        </w:rPr>
        <w:t>three major areas: Area I: Skills for Work and Life, Area II: Understand the Self and Society, and Area III: Ethics and Moral Reasoning.  Each of the areas is further divided into academic disciplines.  The Core’s three areas incorporate one or more of academic disciplines that reflect the curriculum’s student learning goals:</w:t>
      </w:r>
    </w:p>
    <w:p w:rsidR="003B6B3A" w:rsidRPr="006F7E1F" w:rsidRDefault="003B6B3A" w:rsidP="006E19BE">
      <w:pPr>
        <w:autoSpaceDE w:val="0"/>
        <w:autoSpaceDN w:val="0"/>
        <w:adjustRightInd w:val="0"/>
        <w:jc w:val="both"/>
        <w:rPr>
          <w:rFonts w:ascii="Times New Roman" w:hAnsi="Times New Roman"/>
          <w:sz w:val="24"/>
          <w:szCs w:val="24"/>
        </w:rPr>
      </w:pPr>
    </w:p>
    <w:tbl>
      <w:tblPr>
        <w:tblStyle w:val="TableGrid"/>
        <w:tblW w:w="10170" w:type="dxa"/>
        <w:tblInd w:w="-612" w:type="dxa"/>
        <w:tblLook w:val="04A0" w:firstRow="1" w:lastRow="0" w:firstColumn="1" w:lastColumn="0" w:noHBand="0" w:noVBand="1"/>
      </w:tblPr>
      <w:tblGrid>
        <w:gridCol w:w="3240"/>
        <w:gridCol w:w="3510"/>
        <w:gridCol w:w="3420"/>
      </w:tblGrid>
      <w:tr w:rsidR="003B6B3A" w:rsidRPr="006F7E1F" w:rsidTr="009D4003">
        <w:tc>
          <w:tcPr>
            <w:tcW w:w="3240" w:type="dxa"/>
          </w:tcPr>
          <w:p w:rsidR="003B6B3A" w:rsidRPr="006F7E1F" w:rsidRDefault="003B6B3A" w:rsidP="003B6B3A">
            <w:pPr>
              <w:autoSpaceDE w:val="0"/>
              <w:autoSpaceDN w:val="0"/>
              <w:adjustRightInd w:val="0"/>
              <w:jc w:val="both"/>
              <w:rPr>
                <w:rFonts w:ascii="Times New Roman" w:hAnsi="Times New Roman"/>
                <w:b/>
                <w:sz w:val="20"/>
              </w:rPr>
            </w:pPr>
            <w:r w:rsidRPr="006F7E1F">
              <w:rPr>
                <w:rFonts w:ascii="Times New Roman" w:hAnsi="Times New Roman"/>
                <w:b/>
                <w:sz w:val="20"/>
              </w:rPr>
              <w:t>AREA I: Skills for Life and Work</w:t>
            </w:r>
          </w:p>
          <w:p w:rsidR="003B6B3A" w:rsidRPr="006F7E1F" w:rsidRDefault="003B6B3A" w:rsidP="006E19BE">
            <w:pPr>
              <w:autoSpaceDE w:val="0"/>
              <w:autoSpaceDN w:val="0"/>
              <w:adjustRightInd w:val="0"/>
              <w:jc w:val="both"/>
              <w:rPr>
                <w:rFonts w:ascii="Times New Roman" w:hAnsi="Times New Roman"/>
                <w:sz w:val="20"/>
              </w:rPr>
            </w:pPr>
          </w:p>
        </w:tc>
        <w:tc>
          <w:tcPr>
            <w:tcW w:w="3510" w:type="dxa"/>
          </w:tcPr>
          <w:p w:rsidR="003B6B3A" w:rsidRPr="006F7E1F" w:rsidRDefault="003B6B3A" w:rsidP="003B6B3A">
            <w:pPr>
              <w:autoSpaceDE w:val="0"/>
              <w:autoSpaceDN w:val="0"/>
              <w:adjustRightInd w:val="0"/>
              <w:jc w:val="both"/>
              <w:rPr>
                <w:rFonts w:ascii="Times New Roman" w:hAnsi="Times New Roman"/>
                <w:b/>
                <w:sz w:val="20"/>
              </w:rPr>
            </w:pPr>
            <w:r w:rsidRPr="006F7E1F">
              <w:rPr>
                <w:rFonts w:ascii="Times New Roman" w:hAnsi="Times New Roman"/>
                <w:b/>
                <w:sz w:val="20"/>
              </w:rPr>
              <w:t>AREA II:  Understanding the Self and Society</w:t>
            </w:r>
          </w:p>
          <w:p w:rsidR="003B6B3A" w:rsidRPr="006F7E1F" w:rsidRDefault="003B6B3A" w:rsidP="006E19BE">
            <w:pPr>
              <w:autoSpaceDE w:val="0"/>
              <w:autoSpaceDN w:val="0"/>
              <w:adjustRightInd w:val="0"/>
              <w:jc w:val="both"/>
              <w:rPr>
                <w:rFonts w:ascii="Times New Roman" w:hAnsi="Times New Roman"/>
                <w:sz w:val="20"/>
              </w:rPr>
            </w:pPr>
          </w:p>
        </w:tc>
        <w:tc>
          <w:tcPr>
            <w:tcW w:w="3420" w:type="dxa"/>
          </w:tcPr>
          <w:p w:rsidR="003B6B3A" w:rsidRPr="006F7E1F" w:rsidRDefault="003B6B3A" w:rsidP="003B6B3A">
            <w:pPr>
              <w:autoSpaceDE w:val="0"/>
              <w:autoSpaceDN w:val="0"/>
              <w:adjustRightInd w:val="0"/>
              <w:jc w:val="both"/>
              <w:rPr>
                <w:rFonts w:ascii="Times New Roman" w:hAnsi="Times New Roman"/>
                <w:b/>
                <w:sz w:val="20"/>
              </w:rPr>
            </w:pPr>
            <w:r w:rsidRPr="006F7E1F">
              <w:rPr>
                <w:rFonts w:ascii="Times New Roman" w:hAnsi="Times New Roman"/>
                <w:b/>
                <w:sz w:val="20"/>
              </w:rPr>
              <w:lastRenderedPageBreak/>
              <w:t>Area III: Ethics and Moral Reasoning</w:t>
            </w:r>
          </w:p>
          <w:p w:rsidR="003B6B3A" w:rsidRPr="006F7E1F" w:rsidRDefault="003B6B3A" w:rsidP="006E19BE">
            <w:pPr>
              <w:autoSpaceDE w:val="0"/>
              <w:autoSpaceDN w:val="0"/>
              <w:adjustRightInd w:val="0"/>
              <w:jc w:val="both"/>
              <w:rPr>
                <w:rFonts w:ascii="Times New Roman" w:hAnsi="Times New Roman"/>
                <w:sz w:val="20"/>
              </w:rPr>
            </w:pPr>
          </w:p>
        </w:tc>
      </w:tr>
      <w:tr w:rsidR="003B6B3A" w:rsidRPr="006F7E1F" w:rsidTr="009D4003">
        <w:tc>
          <w:tcPr>
            <w:tcW w:w="3240" w:type="dxa"/>
          </w:tcPr>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lastRenderedPageBreak/>
              <w:t>Writing (3 credits)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ENGL 107 College Composition</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Communication (6 credits)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COM 225 Intercultural Communication</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COM 290 Public Speaking</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SPAN 103 Spanish for the Workplace</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Numeracy (3 credits)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MATH 108 Finite Mathematics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Information Literacy (3 credits)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INT 109 Information Literacy</w:t>
            </w:r>
          </w:p>
          <w:p w:rsidR="003B6B3A" w:rsidRPr="006F7E1F" w:rsidRDefault="003B6B3A" w:rsidP="003B6B3A">
            <w:pPr>
              <w:autoSpaceDE w:val="0"/>
              <w:autoSpaceDN w:val="0"/>
              <w:adjustRightInd w:val="0"/>
              <w:rPr>
                <w:rFonts w:ascii="Times New Roman" w:hAnsi="Times New Roman"/>
                <w:sz w:val="20"/>
              </w:rPr>
            </w:pPr>
          </w:p>
        </w:tc>
        <w:tc>
          <w:tcPr>
            <w:tcW w:w="3510" w:type="dxa"/>
          </w:tcPr>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Arts and Humanities (6 credits)</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ENGL 215 Major United States Writers II</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ENGL 267 Multicultural United States Literature</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FNAR 101 Survey: History of Art I</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FNAR 102 Survey: History of Art II</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HIS 130 Introduction to American Civilizations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HIS 132 Twentieth Century United States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HIS 155 The 20th Century World</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PHIL 103 Reasoning and Argumentation</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RST 290</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Social Sciences (6 credits)</w:t>
            </w:r>
          </w:p>
          <w:p w:rsidR="009D4003" w:rsidRPr="006F7E1F" w:rsidRDefault="009D4003"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COM 201 Interpersonal Communication</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ECON 101 Introduction to Microeconomics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ECON 102 Introduction to Macroeconomics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POLS 103 The American Political Process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PSYC 101 Introductory Psychology</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SOCY 100 Introduction to Sociology</w:t>
            </w:r>
          </w:p>
          <w:p w:rsidR="003B6B3A" w:rsidRPr="006F7E1F" w:rsidRDefault="003B6B3A"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Scientific Understanding (4 credits)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BIOL 101 Introduction to Biology</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ENVS 101 Discovering Planet Earth</w:t>
            </w:r>
          </w:p>
          <w:p w:rsidR="003B6B3A" w:rsidRPr="006F7E1F" w:rsidRDefault="003B6B3A" w:rsidP="003B6B3A">
            <w:pPr>
              <w:autoSpaceDE w:val="0"/>
              <w:autoSpaceDN w:val="0"/>
              <w:adjustRightInd w:val="0"/>
              <w:rPr>
                <w:rFonts w:ascii="Times New Roman" w:hAnsi="Times New Roman"/>
                <w:sz w:val="20"/>
              </w:rPr>
            </w:pPr>
          </w:p>
        </w:tc>
        <w:tc>
          <w:tcPr>
            <w:tcW w:w="3420" w:type="dxa"/>
          </w:tcPr>
          <w:p w:rsidR="003B6B3A" w:rsidRPr="006F7E1F" w:rsidRDefault="003B6B3A" w:rsidP="003B6B3A">
            <w:pPr>
              <w:autoSpaceDE w:val="0"/>
              <w:autoSpaceDN w:val="0"/>
              <w:adjustRightInd w:val="0"/>
              <w:rPr>
                <w:rFonts w:ascii="Times New Roman" w:hAnsi="Times New Roman"/>
                <w:b/>
                <w:sz w:val="20"/>
              </w:rPr>
            </w:pPr>
            <w:r w:rsidRPr="006F7E1F">
              <w:rPr>
                <w:rFonts w:ascii="Times New Roman" w:hAnsi="Times New Roman"/>
                <w:b/>
                <w:sz w:val="20"/>
              </w:rPr>
              <w:t>Ethics (3 credits)</w:t>
            </w:r>
          </w:p>
          <w:p w:rsidR="009D4003" w:rsidRPr="006F7E1F" w:rsidRDefault="009D4003" w:rsidP="003B6B3A">
            <w:pPr>
              <w:autoSpaceDE w:val="0"/>
              <w:autoSpaceDN w:val="0"/>
              <w:adjustRightInd w:val="0"/>
              <w:rPr>
                <w:rFonts w:ascii="Times New Roman" w:hAnsi="Times New Roman"/>
                <w:sz w:val="20"/>
              </w:rPr>
            </w:pP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PHIL 245 Ethics I</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PHIL 251 Bioethics</w:t>
            </w:r>
          </w:p>
          <w:p w:rsidR="003B6B3A" w:rsidRPr="006F7E1F" w:rsidRDefault="003B6B3A" w:rsidP="003B6B3A">
            <w:pPr>
              <w:autoSpaceDE w:val="0"/>
              <w:autoSpaceDN w:val="0"/>
              <w:adjustRightInd w:val="0"/>
              <w:rPr>
                <w:rFonts w:ascii="Times New Roman" w:hAnsi="Times New Roman"/>
                <w:sz w:val="20"/>
              </w:rPr>
            </w:pPr>
            <w:r w:rsidRPr="006F7E1F">
              <w:rPr>
                <w:rFonts w:ascii="Times New Roman" w:hAnsi="Times New Roman"/>
                <w:sz w:val="20"/>
              </w:rPr>
              <w:t>PHIL 253 Business and Professional Ethics</w:t>
            </w:r>
          </w:p>
          <w:p w:rsidR="003B6B3A" w:rsidRPr="006F7E1F" w:rsidRDefault="003B6B3A" w:rsidP="003B6B3A">
            <w:pPr>
              <w:autoSpaceDE w:val="0"/>
              <w:autoSpaceDN w:val="0"/>
              <w:adjustRightInd w:val="0"/>
              <w:rPr>
                <w:rFonts w:ascii="Times New Roman" w:hAnsi="Times New Roman"/>
                <w:sz w:val="20"/>
              </w:rPr>
            </w:pPr>
          </w:p>
        </w:tc>
      </w:tr>
    </w:tbl>
    <w:p w:rsidR="003B6B3A" w:rsidRPr="006F7E1F" w:rsidRDefault="003B6B3A" w:rsidP="006E19BE">
      <w:pPr>
        <w:autoSpaceDE w:val="0"/>
        <w:autoSpaceDN w:val="0"/>
        <w:adjustRightInd w:val="0"/>
        <w:jc w:val="both"/>
        <w:rPr>
          <w:rFonts w:ascii="Times New Roman" w:hAnsi="Times New Roman"/>
          <w:sz w:val="24"/>
          <w:szCs w:val="24"/>
        </w:rPr>
      </w:pPr>
    </w:p>
    <w:p w:rsidR="005D1485" w:rsidRPr="006F7E1F" w:rsidRDefault="005D1485" w:rsidP="006E19BE">
      <w:pPr>
        <w:autoSpaceDE w:val="0"/>
        <w:autoSpaceDN w:val="0"/>
        <w:adjustRightInd w:val="0"/>
        <w:jc w:val="both"/>
        <w:rPr>
          <w:rFonts w:ascii="Times New Roman" w:hAnsi="Times New Roman"/>
          <w:sz w:val="24"/>
          <w:szCs w:val="24"/>
        </w:rPr>
      </w:pPr>
    </w:p>
    <w:p w:rsidR="006E19BE" w:rsidRPr="006F7E1F" w:rsidRDefault="006E19BE" w:rsidP="006E19BE">
      <w:pPr>
        <w:autoSpaceDE w:val="0"/>
        <w:autoSpaceDN w:val="0"/>
        <w:adjustRightInd w:val="0"/>
        <w:jc w:val="both"/>
        <w:rPr>
          <w:rFonts w:ascii="Times New Roman" w:hAnsi="Times New Roman"/>
          <w:sz w:val="24"/>
          <w:szCs w:val="24"/>
        </w:rPr>
      </w:pPr>
      <w:r w:rsidRPr="006F7E1F">
        <w:rPr>
          <w:rFonts w:ascii="Times New Roman" w:hAnsi="Times New Roman"/>
          <w:sz w:val="24"/>
          <w:szCs w:val="24"/>
        </w:rPr>
        <w:t xml:space="preserve">Students </w:t>
      </w:r>
      <w:r w:rsidR="005D1485" w:rsidRPr="006F7E1F">
        <w:rPr>
          <w:rFonts w:ascii="Times New Roman" w:hAnsi="Times New Roman"/>
          <w:sz w:val="24"/>
          <w:szCs w:val="24"/>
        </w:rPr>
        <w:t xml:space="preserve">are required to </w:t>
      </w:r>
      <w:r w:rsidRPr="006F7E1F">
        <w:rPr>
          <w:rFonts w:ascii="Times New Roman" w:hAnsi="Times New Roman"/>
          <w:sz w:val="24"/>
          <w:szCs w:val="24"/>
        </w:rPr>
        <w:t>choose from a menu of course options in each area. This menu approach both provides choice and ensures exposure to a wide range of disciplines and methods of inquiry. All courses are at the introductory level, since the Core focuses on foundational skills and knowledge, and is intended to be completed within students’ first two years.</w:t>
      </w:r>
    </w:p>
    <w:p w:rsidR="006E19BE" w:rsidRPr="006F7E1F" w:rsidRDefault="006E19BE" w:rsidP="006E19BE">
      <w:pPr>
        <w:autoSpaceDE w:val="0"/>
        <w:autoSpaceDN w:val="0"/>
        <w:adjustRightInd w:val="0"/>
        <w:jc w:val="both"/>
        <w:rPr>
          <w:rFonts w:ascii="Times New Roman" w:hAnsi="Times New Roman"/>
          <w:sz w:val="24"/>
          <w:szCs w:val="24"/>
        </w:rPr>
      </w:pPr>
    </w:p>
    <w:p w:rsidR="006C54C4" w:rsidRPr="006F7E1F" w:rsidRDefault="006E19BE" w:rsidP="006E19BE">
      <w:pPr>
        <w:autoSpaceDE w:val="0"/>
        <w:autoSpaceDN w:val="0"/>
        <w:adjustRightInd w:val="0"/>
        <w:jc w:val="both"/>
        <w:rPr>
          <w:rFonts w:ascii="Times New Roman" w:hAnsi="Times New Roman"/>
          <w:sz w:val="24"/>
          <w:szCs w:val="24"/>
        </w:rPr>
      </w:pPr>
      <w:r w:rsidRPr="006F7E1F">
        <w:rPr>
          <w:rFonts w:ascii="Times New Roman" w:hAnsi="Times New Roman"/>
          <w:sz w:val="24"/>
          <w:szCs w:val="24"/>
        </w:rPr>
        <w:t xml:space="preserve">The </w:t>
      </w:r>
      <w:r w:rsidR="00F5258E" w:rsidRPr="006F7E1F">
        <w:rPr>
          <w:rFonts w:ascii="Times New Roman" w:hAnsi="Times New Roman"/>
          <w:sz w:val="24"/>
          <w:szCs w:val="24"/>
        </w:rPr>
        <w:t>straightforward</w:t>
      </w:r>
      <w:r w:rsidRPr="006F7E1F">
        <w:rPr>
          <w:rFonts w:ascii="Times New Roman" w:hAnsi="Times New Roman"/>
          <w:sz w:val="24"/>
          <w:szCs w:val="24"/>
        </w:rPr>
        <w:t xml:space="preserve"> design of the </w:t>
      </w:r>
      <w:r w:rsidR="009D4003" w:rsidRPr="006F7E1F">
        <w:rPr>
          <w:rFonts w:ascii="Times New Roman" w:hAnsi="Times New Roman"/>
          <w:sz w:val="24"/>
          <w:szCs w:val="24"/>
        </w:rPr>
        <w:t>c</w:t>
      </w:r>
      <w:r w:rsidRPr="006F7E1F">
        <w:rPr>
          <w:rFonts w:ascii="Times New Roman" w:hAnsi="Times New Roman"/>
          <w:sz w:val="24"/>
          <w:szCs w:val="24"/>
        </w:rPr>
        <w:t>ore curriculum facilitates the evaluation and application of transfer credits. Many SPS students bring prior college credits with them, and the Core curriculum, with its extensive menu of approved courses, is structured to accept a wide range of transfer coursework. The Core curriculum is also structured to allow students to take advantage of experiential learning through the Trinity Experiential Lifelong Learning (TELL) program, which awards credit based on documented prior experience.</w:t>
      </w:r>
    </w:p>
    <w:p w:rsidR="006B16C6" w:rsidRPr="006F7E1F" w:rsidRDefault="006B16C6" w:rsidP="006B16C6">
      <w:pPr>
        <w:autoSpaceDE w:val="0"/>
        <w:autoSpaceDN w:val="0"/>
        <w:adjustRightInd w:val="0"/>
        <w:rPr>
          <w:rFonts w:ascii="Times New Roman" w:hAnsi="Times New Roman"/>
          <w:sz w:val="24"/>
          <w:szCs w:val="24"/>
        </w:rPr>
      </w:pPr>
    </w:p>
    <w:p w:rsidR="006B16C6" w:rsidRPr="006F7E1F" w:rsidRDefault="00AB0110" w:rsidP="005D1485">
      <w:pPr>
        <w:autoSpaceDE w:val="0"/>
        <w:autoSpaceDN w:val="0"/>
        <w:adjustRightInd w:val="0"/>
        <w:jc w:val="both"/>
        <w:rPr>
          <w:rFonts w:ascii="Times New Roman" w:hAnsi="Times New Roman"/>
          <w:sz w:val="24"/>
          <w:szCs w:val="24"/>
        </w:rPr>
      </w:pPr>
      <w:r w:rsidRPr="006F7E1F">
        <w:rPr>
          <w:rFonts w:ascii="Times New Roman" w:hAnsi="Times New Roman"/>
          <w:sz w:val="24"/>
          <w:szCs w:val="24"/>
        </w:rPr>
        <w:t xml:space="preserve">All undergraduates must satisfy the 34 hour credit-requirement for </w:t>
      </w:r>
      <w:r w:rsidR="006B16C6" w:rsidRPr="006F7E1F">
        <w:rPr>
          <w:rFonts w:ascii="Times New Roman" w:hAnsi="Times New Roman"/>
          <w:sz w:val="24"/>
          <w:szCs w:val="24"/>
        </w:rPr>
        <w:t>general education coursework. Specifically, it requires 3</w:t>
      </w:r>
      <w:r w:rsidR="00F5258E" w:rsidRPr="006F7E1F">
        <w:rPr>
          <w:rFonts w:ascii="Times New Roman" w:hAnsi="Times New Roman"/>
          <w:sz w:val="24"/>
          <w:szCs w:val="24"/>
        </w:rPr>
        <w:t>4</w:t>
      </w:r>
      <w:r w:rsidR="006B16C6" w:rsidRPr="006F7E1F">
        <w:rPr>
          <w:rFonts w:ascii="Times New Roman" w:hAnsi="Times New Roman"/>
          <w:sz w:val="24"/>
          <w:szCs w:val="24"/>
        </w:rPr>
        <w:t>-</w:t>
      </w:r>
      <w:r w:rsidR="00F5258E" w:rsidRPr="006F7E1F">
        <w:rPr>
          <w:rFonts w:ascii="Times New Roman" w:hAnsi="Times New Roman"/>
          <w:sz w:val="24"/>
          <w:szCs w:val="24"/>
        </w:rPr>
        <w:t>50</w:t>
      </w:r>
      <w:r w:rsidR="006B16C6" w:rsidRPr="006F7E1F">
        <w:rPr>
          <w:rFonts w:ascii="Times New Roman" w:hAnsi="Times New Roman"/>
          <w:sz w:val="24"/>
          <w:szCs w:val="24"/>
        </w:rPr>
        <w:t>credit hours, depending upon initial placement in math</w:t>
      </w:r>
      <w:r w:rsidR="00F5258E" w:rsidRPr="006F7E1F">
        <w:rPr>
          <w:rFonts w:ascii="Times New Roman" w:hAnsi="Times New Roman"/>
          <w:sz w:val="24"/>
          <w:szCs w:val="24"/>
        </w:rPr>
        <w:t xml:space="preserve"> and</w:t>
      </w:r>
      <w:r w:rsidR="006B16C6" w:rsidRPr="006F7E1F">
        <w:rPr>
          <w:rFonts w:ascii="Times New Roman" w:hAnsi="Times New Roman"/>
          <w:sz w:val="24"/>
          <w:szCs w:val="24"/>
        </w:rPr>
        <w:t xml:space="preserve"> writing courses. </w:t>
      </w:r>
      <w:r w:rsidR="005D1485" w:rsidRPr="006F7E1F">
        <w:rPr>
          <w:rFonts w:ascii="Times New Roman" w:hAnsi="Times New Roman"/>
          <w:sz w:val="24"/>
          <w:szCs w:val="24"/>
        </w:rPr>
        <w:t xml:space="preserve">The Core curriculum </w:t>
      </w:r>
      <w:r w:rsidR="00805D45" w:rsidRPr="006F7E1F">
        <w:rPr>
          <w:rFonts w:ascii="Times New Roman" w:hAnsi="Times New Roman"/>
          <w:sz w:val="24"/>
          <w:szCs w:val="24"/>
        </w:rPr>
        <w:t>serves to</w:t>
      </w:r>
      <w:r w:rsidR="006B16C6" w:rsidRPr="006F7E1F">
        <w:rPr>
          <w:rFonts w:ascii="Times New Roman" w:hAnsi="Times New Roman"/>
          <w:sz w:val="24"/>
          <w:szCs w:val="24"/>
        </w:rPr>
        <w:t xml:space="preserve"> develop students’ </w:t>
      </w:r>
      <w:r w:rsidR="006B16C6" w:rsidRPr="006F7E1F">
        <w:rPr>
          <w:rFonts w:ascii="Times New Roman" w:hAnsi="Times New Roman"/>
          <w:sz w:val="24"/>
          <w:szCs w:val="24"/>
        </w:rPr>
        <w:lastRenderedPageBreak/>
        <w:t xml:space="preserve">proficiencies in oral and written communication, scientific and quantitative reasoning, technological capabilities appropriate to the discipline, and information literacy. </w:t>
      </w:r>
      <w:r w:rsidR="00413B6B" w:rsidRPr="006F7E1F">
        <w:rPr>
          <w:rFonts w:ascii="Times New Roman" w:hAnsi="Times New Roman"/>
          <w:sz w:val="24"/>
          <w:szCs w:val="24"/>
        </w:rPr>
        <w:t>All</w:t>
      </w:r>
      <w:r w:rsidR="006B16C6" w:rsidRPr="006F7E1F">
        <w:rPr>
          <w:rFonts w:ascii="Times New Roman" w:hAnsi="Times New Roman"/>
          <w:sz w:val="24"/>
          <w:szCs w:val="24"/>
        </w:rPr>
        <w:t xml:space="preserve"> of these competencies are embedded in the Core curriculum’s discipline-based areas. For instance, scientific and quantitative reasoning skills are developed through Core Area </w:t>
      </w:r>
      <w:r w:rsidR="00805D45" w:rsidRPr="006F7E1F">
        <w:rPr>
          <w:rFonts w:ascii="Times New Roman" w:hAnsi="Times New Roman"/>
          <w:sz w:val="24"/>
          <w:szCs w:val="24"/>
        </w:rPr>
        <w:t>2</w:t>
      </w:r>
      <w:r w:rsidR="006B16C6" w:rsidRPr="006F7E1F">
        <w:rPr>
          <w:rFonts w:ascii="Times New Roman" w:hAnsi="Times New Roman"/>
          <w:sz w:val="24"/>
          <w:szCs w:val="24"/>
        </w:rPr>
        <w:t xml:space="preserve"> (</w:t>
      </w:r>
      <w:r w:rsidR="00805D45" w:rsidRPr="006F7E1F">
        <w:rPr>
          <w:rFonts w:ascii="Times New Roman" w:hAnsi="Times New Roman"/>
          <w:sz w:val="24"/>
          <w:szCs w:val="24"/>
        </w:rPr>
        <w:t>Understanding the Self and Society</w:t>
      </w:r>
      <w:r w:rsidR="00413B6B" w:rsidRPr="006F7E1F">
        <w:rPr>
          <w:rFonts w:ascii="Times New Roman" w:hAnsi="Times New Roman"/>
          <w:sz w:val="24"/>
          <w:szCs w:val="24"/>
        </w:rPr>
        <w:t>)</w:t>
      </w:r>
      <w:r w:rsidR="006B16C6" w:rsidRPr="006F7E1F">
        <w:rPr>
          <w:rFonts w:ascii="Times New Roman" w:hAnsi="Times New Roman"/>
          <w:sz w:val="24"/>
          <w:szCs w:val="24"/>
        </w:rPr>
        <w:t xml:space="preserve">. </w:t>
      </w:r>
    </w:p>
    <w:p w:rsidR="005F1FA4" w:rsidRPr="006F7E1F" w:rsidRDefault="005F1FA4" w:rsidP="005D1485">
      <w:pPr>
        <w:autoSpaceDE w:val="0"/>
        <w:autoSpaceDN w:val="0"/>
        <w:adjustRightInd w:val="0"/>
        <w:jc w:val="both"/>
        <w:rPr>
          <w:rFonts w:ascii="Times New Roman" w:hAnsi="Times New Roman"/>
          <w:sz w:val="24"/>
          <w:szCs w:val="24"/>
        </w:rPr>
      </w:pPr>
    </w:p>
    <w:p w:rsidR="00540CCA" w:rsidRPr="006F7E1F" w:rsidRDefault="00AB0110" w:rsidP="00540CCA">
      <w:pPr>
        <w:pStyle w:val="Heading1"/>
        <w:rPr>
          <w:rFonts w:ascii="Times New Roman" w:hAnsi="Times New Roman"/>
          <w:sz w:val="24"/>
          <w:szCs w:val="24"/>
        </w:rPr>
      </w:pPr>
      <w:r w:rsidRPr="006F7E1F">
        <w:rPr>
          <w:rFonts w:ascii="Times New Roman" w:hAnsi="Times New Roman"/>
          <w:sz w:val="24"/>
          <w:szCs w:val="24"/>
        </w:rPr>
        <w:t>assessment of general education</w:t>
      </w:r>
    </w:p>
    <w:p w:rsidR="00C92032" w:rsidRPr="006F7E1F" w:rsidRDefault="00C92032" w:rsidP="00C92032">
      <w:pPr>
        <w:pStyle w:val="BodyText"/>
        <w:tabs>
          <w:tab w:val="decimal" w:pos="8640"/>
        </w:tabs>
        <w:ind w:firstLine="0"/>
        <w:rPr>
          <w:rFonts w:ascii="Times New Roman" w:hAnsi="Times New Roman"/>
          <w:sz w:val="24"/>
          <w:szCs w:val="24"/>
        </w:rPr>
      </w:pPr>
      <w:r w:rsidRPr="006F7E1F">
        <w:rPr>
          <w:rFonts w:ascii="Times New Roman" w:hAnsi="Times New Roman"/>
          <w:color w:val="000000"/>
          <w:sz w:val="24"/>
          <w:szCs w:val="24"/>
        </w:rPr>
        <w:t xml:space="preserve">In 2010, </w:t>
      </w:r>
      <w:r w:rsidRPr="006F7E1F">
        <w:rPr>
          <w:rFonts w:ascii="Times New Roman" w:hAnsi="Times New Roman"/>
          <w:sz w:val="24"/>
          <w:szCs w:val="24"/>
        </w:rPr>
        <w:t>the School of Professional Studies</w:t>
      </w:r>
      <w:r w:rsidRPr="006F7E1F">
        <w:rPr>
          <w:rFonts w:ascii="Times New Roman" w:hAnsi="Times New Roman"/>
          <w:color w:val="000000"/>
          <w:sz w:val="24"/>
          <w:szCs w:val="24"/>
        </w:rPr>
        <w:t xml:space="preserve"> began to aggregate and analyze direct measures of student learning</w:t>
      </w:r>
      <w:r w:rsidR="006F7E1F" w:rsidRPr="006F7E1F">
        <w:rPr>
          <w:rFonts w:ascii="Times New Roman" w:hAnsi="Times New Roman"/>
          <w:color w:val="000000"/>
          <w:sz w:val="24"/>
          <w:szCs w:val="24"/>
        </w:rPr>
        <w:t xml:space="preserve"> for its </w:t>
      </w:r>
      <w:r w:rsidR="006F7E1F" w:rsidRPr="006F7E1F">
        <w:rPr>
          <w:rFonts w:ascii="Times New Roman" w:hAnsi="Times New Roman"/>
          <w:sz w:val="24"/>
          <w:szCs w:val="24"/>
        </w:rPr>
        <w:t>pre-foundational and core math and English courses.</w:t>
      </w:r>
      <w:r w:rsidRPr="006F7E1F">
        <w:rPr>
          <w:rFonts w:ascii="Times New Roman" w:hAnsi="Times New Roman"/>
          <w:color w:val="000000"/>
          <w:sz w:val="24"/>
          <w:szCs w:val="24"/>
        </w:rPr>
        <w:t xml:space="preserve"> The Math and English specialists developed </w:t>
      </w:r>
      <w:r w:rsidR="006F7E1F" w:rsidRPr="006F7E1F">
        <w:rPr>
          <w:rFonts w:ascii="Times New Roman" w:hAnsi="Times New Roman"/>
          <w:color w:val="000000"/>
          <w:sz w:val="24"/>
          <w:szCs w:val="24"/>
        </w:rPr>
        <w:t xml:space="preserve">annual </w:t>
      </w:r>
      <w:r w:rsidRPr="006F7E1F">
        <w:rPr>
          <w:rFonts w:ascii="Times New Roman" w:hAnsi="Times New Roman"/>
          <w:sz w:val="24"/>
          <w:szCs w:val="24"/>
        </w:rPr>
        <w:t>reports</w:t>
      </w:r>
      <w:r w:rsidR="006F7E1F" w:rsidRPr="006F7E1F">
        <w:rPr>
          <w:rFonts w:ascii="Times New Roman" w:hAnsi="Times New Roman"/>
          <w:sz w:val="24"/>
          <w:szCs w:val="24"/>
        </w:rPr>
        <w:t xml:space="preserve">, which </w:t>
      </w:r>
      <w:r w:rsidRPr="006F7E1F">
        <w:rPr>
          <w:rFonts w:ascii="Times New Roman" w:hAnsi="Times New Roman"/>
          <w:sz w:val="24"/>
          <w:szCs w:val="24"/>
        </w:rPr>
        <w:t>measure</w:t>
      </w:r>
      <w:r w:rsidR="006F7E1F" w:rsidRPr="006F7E1F">
        <w:rPr>
          <w:rFonts w:ascii="Times New Roman" w:hAnsi="Times New Roman"/>
          <w:sz w:val="24"/>
          <w:szCs w:val="24"/>
        </w:rPr>
        <w:t>d</w:t>
      </w:r>
      <w:r w:rsidRPr="006F7E1F">
        <w:rPr>
          <w:rFonts w:ascii="Times New Roman" w:hAnsi="Times New Roman"/>
          <w:sz w:val="24"/>
          <w:szCs w:val="24"/>
        </w:rPr>
        <w:t xml:space="preserve"> the outcomes of </w:t>
      </w:r>
      <w:r w:rsidR="006F7E1F" w:rsidRPr="006F7E1F">
        <w:rPr>
          <w:rFonts w:ascii="Times New Roman" w:hAnsi="Times New Roman"/>
          <w:sz w:val="24"/>
          <w:szCs w:val="24"/>
        </w:rPr>
        <w:t>the aforementioned</w:t>
      </w:r>
      <w:r w:rsidRPr="006F7E1F">
        <w:rPr>
          <w:rFonts w:ascii="Times New Roman" w:hAnsi="Times New Roman"/>
          <w:sz w:val="24"/>
          <w:szCs w:val="24"/>
        </w:rPr>
        <w:t xml:space="preserve"> courses. The results of the assessment reports were incorporated into the existing curriculum.</w:t>
      </w:r>
      <w:r w:rsidR="006F7E1F" w:rsidRPr="006F7E1F">
        <w:rPr>
          <w:rFonts w:ascii="Times New Roman" w:hAnsi="Times New Roman"/>
          <w:sz w:val="24"/>
          <w:szCs w:val="24"/>
        </w:rPr>
        <w:t xml:space="preserve"> Due to a change in staffing, the last Math and English reports were produced in 2014.</w:t>
      </w:r>
    </w:p>
    <w:p w:rsidR="006D7CE5" w:rsidRPr="006F7E1F" w:rsidRDefault="00FE2A19" w:rsidP="00C92032">
      <w:pPr>
        <w:pStyle w:val="BodyText"/>
        <w:tabs>
          <w:tab w:val="decimal" w:pos="8640"/>
        </w:tabs>
        <w:ind w:firstLine="0"/>
        <w:rPr>
          <w:rFonts w:ascii="Times New Roman" w:hAnsi="Times New Roman"/>
          <w:sz w:val="24"/>
          <w:szCs w:val="24"/>
        </w:rPr>
      </w:pPr>
      <w:r w:rsidRPr="006F7E1F">
        <w:rPr>
          <w:rFonts w:ascii="Times New Roman" w:hAnsi="Times New Roman"/>
          <w:sz w:val="24"/>
          <w:szCs w:val="24"/>
        </w:rPr>
        <w:t xml:space="preserve">In Fall 2012, </w:t>
      </w:r>
      <w:r w:rsidR="00740416" w:rsidRPr="006F7E1F">
        <w:rPr>
          <w:rFonts w:ascii="Times New Roman" w:hAnsi="Times New Roman"/>
          <w:sz w:val="24"/>
          <w:szCs w:val="24"/>
        </w:rPr>
        <w:t>the</w:t>
      </w:r>
      <w:r w:rsidRPr="006F7E1F">
        <w:rPr>
          <w:rFonts w:ascii="Times New Roman" w:hAnsi="Times New Roman"/>
          <w:sz w:val="24"/>
          <w:szCs w:val="24"/>
        </w:rPr>
        <w:t xml:space="preserve"> School of Professional Studies implemented a</w:t>
      </w:r>
      <w:r w:rsidR="006D7CE5" w:rsidRPr="006F7E1F">
        <w:rPr>
          <w:rFonts w:ascii="Times New Roman" w:hAnsi="Times New Roman"/>
          <w:sz w:val="24"/>
          <w:szCs w:val="24"/>
        </w:rPr>
        <w:t xml:space="preserve">n undergraduate </w:t>
      </w:r>
      <w:r w:rsidRPr="006F7E1F">
        <w:rPr>
          <w:rFonts w:ascii="Times New Roman" w:hAnsi="Times New Roman"/>
          <w:sz w:val="24"/>
          <w:szCs w:val="24"/>
        </w:rPr>
        <w:t>curriculum assessment project</w:t>
      </w:r>
      <w:r w:rsidR="00A173CD" w:rsidRPr="006F7E1F">
        <w:rPr>
          <w:rFonts w:ascii="Times New Roman" w:hAnsi="Times New Roman"/>
          <w:sz w:val="24"/>
          <w:szCs w:val="24"/>
        </w:rPr>
        <w:t xml:space="preserve"> to complement Trinity’s overall outcomes assessment efforts.</w:t>
      </w:r>
      <w:r w:rsidRPr="006F7E1F">
        <w:rPr>
          <w:rFonts w:ascii="Times New Roman" w:hAnsi="Times New Roman"/>
          <w:sz w:val="24"/>
          <w:szCs w:val="24"/>
        </w:rPr>
        <w:t xml:space="preserve"> </w:t>
      </w:r>
      <w:r w:rsidR="00A173CD" w:rsidRPr="006F7E1F">
        <w:rPr>
          <w:rFonts w:ascii="Times New Roman" w:hAnsi="Times New Roman"/>
          <w:sz w:val="24"/>
          <w:szCs w:val="24"/>
        </w:rPr>
        <w:t>T</w:t>
      </w:r>
      <w:r w:rsidR="005F1FA4" w:rsidRPr="006F7E1F">
        <w:rPr>
          <w:rFonts w:ascii="Times New Roman" w:hAnsi="Times New Roman"/>
          <w:sz w:val="24"/>
          <w:szCs w:val="24"/>
        </w:rPr>
        <w:t>he Core does not state explicit student learning goals</w:t>
      </w:r>
      <w:r w:rsidR="00A173CD" w:rsidRPr="006F7E1F">
        <w:rPr>
          <w:rFonts w:ascii="Times New Roman" w:hAnsi="Times New Roman"/>
          <w:sz w:val="24"/>
          <w:szCs w:val="24"/>
        </w:rPr>
        <w:t>; therefore,</w:t>
      </w:r>
      <w:r w:rsidR="005F1FA4" w:rsidRPr="006F7E1F">
        <w:rPr>
          <w:rFonts w:ascii="Times New Roman" w:hAnsi="Times New Roman"/>
          <w:sz w:val="24"/>
          <w:szCs w:val="24"/>
        </w:rPr>
        <w:t xml:space="preserve"> </w:t>
      </w:r>
      <w:r w:rsidR="006D7CE5" w:rsidRPr="006F7E1F">
        <w:rPr>
          <w:rFonts w:ascii="Times New Roman" w:hAnsi="Times New Roman"/>
          <w:sz w:val="24"/>
          <w:szCs w:val="24"/>
        </w:rPr>
        <w:t xml:space="preserve">SPS conducts assessment in areas that overlap with the academic unit’s three major areas of general education coursework: Area I: Skills for Work and Life, Area II: Understand the Self and Society, and Area III: Ethics and Moral Reasoning. </w:t>
      </w:r>
      <w:r w:rsidR="00C57CA0" w:rsidRPr="006F7E1F">
        <w:rPr>
          <w:rFonts w:ascii="Times New Roman" w:hAnsi="Times New Roman"/>
          <w:sz w:val="24"/>
          <w:szCs w:val="24"/>
        </w:rPr>
        <w:t xml:space="preserve">SPS assesses its </w:t>
      </w:r>
      <w:r w:rsidR="00D14B7E" w:rsidRPr="006F7E1F">
        <w:rPr>
          <w:rFonts w:ascii="Times New Roman" w:hAnsi="Times New Roman"/>
          <w:sz w:val="24"/>
          <w:szCs w:val="24"/>
        </w:rPr>
        <w:t xml:space="preserve">core </w:t>
      </w:r>
      <w:r w:rsidR="00C57CA0" w:rsidRPr="006F7E1F">
        <w:rPr>
          <w:rFonts w:ascii="Times New Roman" w:hAnsi="Times New Roman"/>
          <w:sz w:val="24"/>
          <w:szCs w:val="24"/>
        </w:rPr>
        <w:t xml:space="preserve">curriculum </w:t>
      </w:r>
      <w:r w:rsidR="00D14B7E" w:rsidRPr="006F7E1F">
        <w:rPr>
          <w:rFonts w:ascii="Times New Roman" w:hAnsi="Times New Roman"/>
          <w:sz w:val="24"/>
          <w:szCs w:val="24"/>
        </w:rPr>
        <w:t xml:space="preserve">in the following areas: </w:t>
      </w:r>
      <w:r w:rsidR="006D7CE5" w:rsidRPr="006F7E1F">
        <w:rPr>
          <w:rFonts w:ascii="Times New Roman" w:hAnsi="Times New Roman"/>
          <w:sz w:val="24"/>
          <w:szCs w:val="24"/>
        </w:rPr>
        <w:t xml:space="preserve">Critical Thinking, Ethical Reasoning, Information Literacy, Intercultural Knowledge, Oral Communication, Problem Solving, and Quantitative Literacy.  </w:t>
      </w:r>
      <w:r w:rsidR="009C7C69" w:rsidRPr="006F7E1F">
        <w:rPr>
          <w:rFonts w:ascii="Times New Roman" w:hAnsi="Times New Roman"/>
          <w:sz w:val="24"/>
          <w:szCs w:val="24"/>
        </w:rPr>
        <w:t>SPS has adopted several rubrics designed by the Association of American Colleges and Universities</w:t>
      </w:r>
      <w:r w:rsidR="00CA3B16" w:rsidRPr="006F7E1F">
        <w:rPr>
          <w:rFonts w:ascii="Times New Roman" w:hAnsi="Times New Roman"/>
          <w:sz w:val="24"/>
          <w:szCs w:val="24"/>
        </w:rPr>
        <w:t xml:space="preserve"> to assess the general core in the six categories listed above</w:t>
      </w:r>
      <w:r w:rsidR="009C7C69" w:rsidRPr="006F7E1F">
        <w:rPr>
          <w:rFonts w:ascii="Times New Roman" w:hAnsi="Times New Roman"/>
          <w:sz w:val="24"/>
          <w:szCs w:val="24"/>
        </w:rPr>
        <w:t>.</w:t>
      </w:r>
    </w:p>
    <w:p w:rsidR="00CA3B16" w:rsidRPr="006F7E1F" w:rsidRDefault="00CA3B16" w:rsidP="00CA3B16">
      <w:pPr>
        <w:pStyle w:val="BodyText"/>
        <w:ind w:firstLine="0"/>
        <w:rPr>
          <w:rFonts w:ascii="Times New Roman" w:hAnsi="Times New Roman"/>
          <w:sz w:val="24"/>
          <w:szCs w:val="24"/>
        </w:rPr>
      </w:pPr>
      <w:r w:rsidRPr="006F7E1F">
        <w:rPr>
          <w:rFonts w:ascii="Times New Roman" w:hAnsi="Times New Roman"/>
          <w:sz w:val="24"/>
          <w:szCs w:val="24"/>
        </w:rPr>
        <w:t>More on the AAC&amp;U Rubrics</w:t>
      </w:r>
    </w:p>
    <w:p w:rsidR="00CA3B16" w:rsidRPr="006F7E1F" w:rsidRDefault="00CA3B16" w:rsidP="00CA3B16">
      <w:pPr>
        <w:pStyle w:val="BodyText"/>
        <w:ind w:left="720" w:right="720" w:firstLine="0"/>
        <w:rPr>
          <w:rFonts w:ascii="Times New Roman" w:hAnsi="Times New Roman"/>
          <w:sz w:val="24"/>
          <w:szCs w:val="24"/>
        </w:rPr>
      </w:pPr>
      <w:r w:rsidRPr="006F7E1F">
        <w:rPr>
          <w:rFonts w:ascii="Times New Roman" w:hAnsi="Times New Roman"/>
          <w:sz w:val="24"/>
          <w:szCs w:val="24"/>
        </w:rPr>
        <w:t xml:space="preserve">Through its ground-breaking national initiative, </w:t>
      </w:r>
      <w:hyperlink r:id="rId10" w:history="1">
        <w:r w:rsidRPr="006F7E1F">
          <w:rPr>
            <w:rStyle w:val="Hyperlink"/>
            <w:rFonts w:ascii="Times New Roman" w:hAnsi="Times New Roman"/>
            <w:color w:val="auto"/>
            <w:sz w:val="24"/>
            <w:szCs w:val="24"/>
          </w:rPr>
          <w:t>VALUE</w:t>
        </w:r>
      </w:hyperlink>
      <w:r w:rsidRPr="006F7E1F">
        <w:rPr>
          <w:rFonts w:ascii="Times New Roman" w:hAnsi="Times New Roman"/>
          <w:sz w:val="24"/>
          <w:szCs w:val="24"/>
        </w:rPr>
        <w:t xml:space="preserve"> (Valid Assessment of Learning in Undergraduate Education), AAC&amp;U has worked with faculty and assessment expert teams across the country to develop a set of 15 rubrics through which institutions can evaluate cross-cutting capacities students develop across courses and programs. More than 2000 institutions are currently using VALUE rubrics as part of their assessment plans. See the attachment for more information about the successful implementation results for the use of VALUE rubrics at campuses across the nation. (AAC&amp;U, 2012)</w:t>
      </w:r>
    </w:p>
    <w:p w:rsidR="006F1C7E" w:rsidRPr="006F7E1F" w:rsidRDefault="00796FAF" w:rsidP="006F1C7E">
      <w:pPr>
        <w:pStyle w:val="BodyText"/>
        <w:ind w:firstLine="0"/>
        <w:rPr>
          <w:rFonts w:ascii="Times New Roman" w:hAnsi="Times New Roman"/>
          <w:sz w:val="24"/>
          <w:szCs w:val="24"/>
        </w:rPr>
      </w:pPr>
      <w:r w:rsidRPr="006F7E1F">
        <w:rPr>
          <w:rFonts w:ascii="Times New Roman" w:hAnsi="Times New Roman"/>
          <w:sz w:val="24"/>
          <w:szCs w:val="24"/>
        </w:rPr>
        <w:t>The purpose of the current assessment project is to assess the degree to which the SPS general education core program teaches and effectively measures specific outcomes that are key to the mission of the university and the academic unit</w:t>
      </w:r>
      <w:r w:rsidR="006F1C7E" w:rsidRPr="006F7E1F">
        <w:rPr>
          <w:rFonts w:ascii="Times New Roman" w:hAnsi="Times New Roman"/>
          <w:sz w:val="24"/>
          <w:szCs w:val="24"/>
        </w:rPr>
        <w:t xml:space="preserve">. Each semester, faculty that are teaching courses that have been identified for assessment </w:t>
      </w:r>
      <w:r w:rsidR="006F1C7E" w:rsidRPr="006F7E1F">
        <w:rPr>
          <w:rFonts w:ascii="Times New Roman" w:hAnsi="Times New Roman"/>
          <w:color w:val="000000"/>
          <w:sz w:val="24"/>
          <w:szCs w:val="24"/>
        </w:rPr>
        <w:t xml:space="preserve">are expected to assess at least one assignment with each rubric assigned to his or her class. </w:t>
      </w:r>
      <w:r w:rsidR="00B01EB0" w:rsidRPr="006F7E1F">
        <w:rPr>
          <w:rFonts w:ascii="Times New Roman" w:hAnsi="Times New Roman"/>
          <w:color w:val="000000"/>
          <w:sz w:val="24"/>
          <w:szCs w:val="24"/>
        </w:rPr>
        <w:t xml:space="preserve">Specific competencies related to the rubric category are ranked from 1 “Benchmark” to 4 “Capstone”.  </w:t>
      </w:r>
      <w:r w:rsidR="006F1C7E" w:rsidRPr="006F7E1F">
        <w:rPr>
          <w:rFonts w:ascii="Times New Roman" w:hAnsi="Times New Roman"/>
          <w:color w:val="000000"/>
          <w:sz w:val="24"/>
          <w:szCs w:val="24"/>
        </w:rPr>
        <w:t>Faculty</w:t>
      </w:r>
      <w:r w:rsidR="009C7C69" w:rsidRPr="006F7E1F">
        <w:rPr>
          <w:rFonts w:ascii="Times New Roman" w:hAnsi="Times New Roman"/>
          <w:color w:val="000000"/>
          <w:sz w:val="24"/>
          <w:szCs w:val="24"/>
        </w:rPr>
        <w:t xml:space="preserve"> members</w:t>
      </w:r>
      <w:r w:rsidR="006F1C7E" w:rsidRPr="006F7E1F">
        <w:rPr>
          <w:rFonts w:ascii="Times New Roman" w:hAnsi="Times New Roman"/>
          <w:color w:val="000000"/>
          <w:sz w:val="24"/>
          <w:szCs w:val="24"/>
        </w:rPr>
        <w:t xml:space="preserve"> </w:t>
      </w:r>
      <w:r w:rsidR="00B01EB0" w:rsidRPr="006F7E1F">
        <w:rPr>
          <w:rFonts w:ascii="Times New Roman" w:hAnsi="Times New Roman"/>
          <w:color w:val="000000"/>
          <w:sz w:val="24"/>
          <w:szCs w:val="24"/>
        </w:rPr>
        <w:t xml:space="preserve">select </w:t>
      </w:r>
      <w:r w:rsidR="006F1C7E" w:rsidRPr="006F7E1F">
        <w:rPr>
          <w:rFonts w:ascii="Times New Roman" w:hAnsi="Times New Roman"/>
          <w:color w:val="000000"/>
          <w:sz w:val="24"/>
          <w:szCs w:val="24"/>
        </w:rPr>
        <w:t xml:space="preserve">the ranking on the rubric that corresponds to the quality of work that the </w:t>
      </w:r>
      <w:r w:rsidR="006F1C7E" w:rsidRPr="006F7E1F">
        <w:rPr>
          <w:rFonts w:ascii="Times New Roman" w:hAnsi="Times New Roman"/>
          <w:color w:val="000000"/>
          <w:sz w:val="24"/>
          <w:szCs w:val="24"/>
        </w:rPr>
        <w:lastRenderedPageBreak/>
        <w:t xml:space="preserve">student has demonstrated. </w:t>
      </w:r>
      <w:r w:rsidR="00A173CD" w:rsidRPr="006F7E1F">
        <w:rPr>
          <w:rFonts w:ascii="Times New Roman" w:hAnsi="Times New Roman"/>
          <w:sz w:val="24"/>
          <w:szCs w:val="24"/>
        </w:rPr>
        <w:t>The results of these assessments will be incorporated into the curriculum.</w:t>
      </w:r>
    </w:p>
    <w:p w:rsidR="00540CCA" w:rsidRPr="006F7E1F" w:rsidRDefault="00540CCA" w:rsidP="00540CCA">
      <w:pPr>
        <w:pStyle w:val="Heading1"/>
        <w:rPr>
          <w:rFonts w:ascii="Times New Roman" w:hAnsi="Times New Roman"/>
          <w:sz w:val="24"/>
          <w:szCs w:val="24"/>
        </w:rPr>
      </w:pPr>
      <w:r w:rsidRPr="006F7E1F">
        <w:rPr>
          <w:rFonts w:ascii="Times New Roman" w:hAnsi="Times New Roman"/>
          <w:sz w:val="24"/>
          <w:szCs w:val="24"/>
        </w:rPr>
        <w:t>results OF CORE CURRICULUM ASSESSMENT</w:t>
      </w:r>
    </w:p>
    <w:p w:rsidR="00A66865" w:rsidRPr="006F7E1F" w:rsidRDefault="003B5270" w:rsidP="00A66865">
      <w:pPr>
        <w:pStyle w:val="BodyText"/>
        <w:ind w:firstLine="0"/>
        <w:rPr>
          <w:rFonts w:ascii="Times New Roman" w:hAnsi="Times New Roman"/>
          <w:color w:val="000000"/>
          <w:sz w:val="24"/>
          <w:szCs w:val="24"/>
        </w:rPr>
      </w:pPr>
      <w:r w:rsidRPr="006F7E1F">
        <w:rPr>
          <w:rFonts w:ascii="Times New Roman" w:hAnsi="Times New Roman"/>
          <w:color w:val="000000"/>
          <w:sz w:val="24"/>
          <w:szCs w:val="24"/>
        </w:rPr>
        <w:t xml:space="preserve">Research </w:t>
      </w:r>
      <w:r w:rsidR="001D5757" w:rsidRPr="006F7E1F">
        <w:rPr>
          <w:rFonts w:ascii="Times New Roman" w:hAnsi="Times New Roman"/>
          <w:color w:val="000000"/>
          <w:sz w:val="24"/>
          <w:szCs w:val="24"/>
        </w:rPr>
        <w:t>indicates</w:t>
      </w:r>
      <w:r w:rsidR="0092688D" w:rsidRPr="006F7E1F">
        <w:rPr>
          <w:rFonts w:ascii="Times New Roman" w:hAnsi="Times New Roman"/>
          <w:color w:val="000000"/>
          <w:sz w:val="24"/>
          <w:szCs w:val="24"/>
        </w:rPr>
        <w:t xml:space="preserve"> that </w:t>
      </w:r>
      <w:r w:rsidR="00407025" w:rsidRPr="006F7E1F">
        <w:rPr>
          <w:rFonts w:ascii="Times New Roman" w:hAnsi="Times New Roman"/>
          <w:color w:val="000000"/>
          <w:sz w:val="24"/>
          <w:szCs w:val="24"/>
        </w:rPr>
        <w:t xml:space="preserve">SPS students </w:t>
      </w:r>
      <w:r w:rsidR="00407025" w:rsidRPr="006F7E1F">
        <w:rPr>
          <w:rFonts w:ascii="Times New Roman" w:hAnsi="Times New Roman"/>
          <w:sz w:val="24"/>
          <w:szCs w:val="24"/>
        </w:rPr>
        <w:t xml:space="preserve">enrolled in writing </w:t>
      </w:r>
      <w:r w:rsidRPr="006F7E1F">
        <w:rPr>
          <w:rFonts w:ascii="Times New Roman" w:hAnsi="Times New Roman"/>
          <w:sz w:val="24"/>
          <w:szCs w:val="24"/>
        </w:rPr>
        <w:t xml:space="preserve">and ethics </w:t>
      </w:r>
      <w:r w:rsidR="00407025" w:rsidRPr="006F7E1F">
        <w:rPr>
          <w:rFonts w:ascii="Times New Roman" w:hAnsi="Times New Roman"/>
          <w:sz w:val="24"/>
          <w:szCs w:val="24"/>
        </w:rPr>
        <w:t xml:space="preserve">courses within </w:t>
      </w:r>
      <w:r w:rsidR="003016C7" w:rsidRPr="006F7E1F">
        <w:rPr>
          <w:rFonts w:ascii="Times New Roman" w:hAnsi="Times New Roman"/>
          <w:sz w:val="24"/>
          <w:szCs w:val="24"/>
        </w:rPr>
        <w:t>the Core</w:t>
      </w:r>
      <w:r w:rsidR="00407025" w:rsidRPr="006F7E1F">
        <w:rPr>
          <w:rFonts w:ascii="Times New Roman" w:hAnsi="Times New Roman"/>
          <w:sz w:val="24"/>
          <w:szCs w:val="24"/>
        </w:rPr>
        <w:t xml:space="preserve"> </w:t>
      </w:r>
      <w:r w:rsidR="00A66865" w:rsidRPr="006F7E1F">
        <w:rPr>
          <w:rFonts w:ascii="Times New Roman" w:hAnsi="Times New Roman"/>
          <w:sz w:val="24"/>
          <w:szCs w:val="24"/>
        </w:rPr>
        <w:t xml:space="preserve">show improvements in </w:t>
      </w:r>
      <w:r w:rsidRPr="006F7E1F">
        <w:rPr>
          <w:rFonts w:ascii="Times New Roman" w:hAnsi="Times New Roman"/>
          <w:sz w:val="24"/>
          <w:szCs w:val="24"/>
        </w:rPr>
        <w:t xml:space="preserve">competency </w:t>
      </w:r>
      <w:r w:rsidR="003016C7" w:rsidRPr="006F7E1F">
        <w:rPr>
          <w:rFonts w:ascii="Times New Roman" w:hAnsi="Times New Roman"/>
          <w:sz w:val="24"/>
          <w:szCs w:val="24"/>
        </w:rPr>
        <w:t xml:space="preserve">levels </w:t>
      </w:r>
      <w:r w:rsidRPr="006F7E1F">
        <w:rPr>
          <w:rFonts w:ascii="Times New Roman" w:hAnsi="Times New Roman"/>
          <w:sz w:val="24"/>
          <w:szCs w:val="24"/>
        </w:rPr>
        <w:t>i</w:t>
      </w:r>
      <w:r w:rsidR="00407025" w:rsidRPr="006F7E1F">
        <w:rPr>
          <w:rFonts w:ascii="Times New Roman" w:hAnsi="Times New Roman"/>
          <w:sz w:val="24"/>
          <w:szCs w:val="24"/>
        </w:rPr>
        <w:t xml:space="preserve">n </w:t>
      </w:r>
      <w:r w:rsidRPr="006F7E1F">
        <w:rPr>
          <w:rFonts w:ascii="Times New Roman" w:hAnsi="Times New Roman"/>
          <w:sz w:val="24"/>
          <w:szCs w:val="24"/>
        </w:rPr>
        <w:t xml:space="preserve">the areas of Critical Thinking and Ethical Reasoning.  </w:t>
      </w:r>
      <w:r w:rsidR="00A66865" w:rsidRPr="006F7E1F">
        <w:rPr>
          <w:rFonts w:ascii="Times New Roman" w:hAnsi="Times New Roman"/>
          <w:color w:val="000000"/>
          <w:sz w:val="24"/>
          <w:szCs w:val="24"/>
        </w:rPr>
        <w:t>The results are reflective of changes to curriculum and classroom pedagogy in English and efforts led by the SPS Writing Specialist.  However, while the improvements are noteworthy, further strengthening of students’ writing skills remain a goal for the School of Professional Studies.</w:t>
      </w:r>
    </w:p>
    <w:p w:rsidR="00A66865" w:rsidRPr="006F7E1F" w:rsidRDefault="00A66865" w:rsidP="00A66865">
      <w:pPr>
        <w:pStyle w:val="BodyText"/>
        <w:ind w:firstLine="0"/>
        <w:rPr>
          <w:rFonts w:ascii="Times New Roman" w:hAnsi="Times New Roman"/>
          <w:color w:val="000000"/>
          <w:sz w:val="24"/>
          <w:szCs w:val="24"/>
        </w:rPr>
      </w:pPr>
      <w:r w:rsidRPr="006F7E1F">
        <w:rPr>
          <w:rFonts w:ascii="Times New Roman" w:hAnsi="Times New Roman"/>
          <w:color w:val="000000"/>
          <w:sz w:val="24"/>
          <w:szCs w:val="24"/>
        </w:rPr>
        <w:t xml:space="preserve">These results suggest that Trinity’s writing courses are increasingly providing effective skill building opportunities for many SPS students, allowing them to complete their general education requirements and move forward successfully into the next phase of their academic programs. </w:t>
      </w:r>
    </w:p>
    <w:p w:rsidR="00166D4A" w:rsidRPr="006F7E1F" w:rsidRDefault="003016C7" w:rsidP="00407025">
      <w:pPr>
        <w:jc w:val="both"/>
        <w:rPr>
          <w:rFonts w:ascii="Times New Roman" w:hAnsi="Times New Roman"/>
          <w:sz w:val="24"/>
          <w:szCs w:val="24"/>
        </w:rPr>
      </w:pPr>
      <w:r w:rsidRPr="006F7E1F">
        <w:rPr>
          <w:rFonts w:ascii="Times New Roman" w:hAnsi="Times New Roman"/>
          <w:sz w:val="24"/>
          <w:szCs w:val="24"/>
        </w:rPr>
        <w:t>Alternatively,</w:t>
      </w:r>
      <w:r w:rsidRPr="006F7E1F">
        <w:rPr>
          <w:rFonts w:ascii="Times New Roman" w:hAnsi="Times New Roman"/>
          <w:color w:val="000000"/>
          <w:sz w:val="24"/>
          <w:szCs w:val="24"/>
        </w:rPr>
        <w:t xml:space="preserve"> SPS students </w:t>
      </w:r>
      <w:r w:rsidRPr="006F7E1F">
        <w:rPr>
          <w:rFonts w:ascii="Times New Roman" w:hAnsi="Times New Roman"/>
          <w:sz w:val="24"/>
          <w:szCs w:val="24"/>
        </w:rPr>
        <w:t xml:space="preserve">enrolled in numeracy and science courses within the Core demonstrate below average competency levels in the areas of Problem Solving and Quantitative Literacy.  </w:t>
      </w:r>
    </w:p>
    <w:p w:rsidR="00A66865" w:rsidRPr="006F7E1F" w:rsidRDefault="00A66865" w:rsidP="00407025">
      <w:pPr>
        <w:jc w:val="both"/>
        <w:rPr>
          <w:rFonts w:ascii="Times New Roman" w:hAnsi="Times New Roman"/>
          <w:sz w:val="24"/>
          <w:szCs w:val="24"/>
        </w:rPr>
      </w:pPr>
    </w:p>
    <w:p w:rsidR="004C1838" w:rsidRPr="006F7E1F" w:rsidRDefault="001D5757" w:rsidP="00166D4A">
      <w:pPr>
        <w:pStyle w:val="BodyText"/>
        <w:ind w:firstLine="0"/>
        <w:rPr>
          <w:rFonts w:ascii="Times New Roman" w:hAnsi="Times New Roman"/>
          <w:color w:val="000000"/>
          <w:sz w:val="24"/>
          <w:szCs w:val="24"/>
        </w:rPr>
      </w:pPr>
      <w:r w:rsidRPr="006F7E1F">
        <w:rPr>
          <w:rFonts w:ascii="Times New Roman" w:hAnsi="Times New Roman"/>
          <w:color w:val="000000"/>
          <w:sz w:val="24"/>
          <w:szCs w:val="24"/>
        </w:rPr>
        <w:t>More</w:t>
      </w:r>
      <w:r w:rsidR="0092688D" w:rsidRPr="006F7E1F">
        <w:rPr>
          <w:rFonts w:ascii="Times New Roman" w:hAnsi="Times New Roman"/>
          <w:color w:val="000000"/>
          <w:sz w:val="24"/>
          <w:szCs w:val="24"/>
        </w:rPr>
        <w:t xml:space="preserve"> analysis is needed to determine whether Trinity’s current</w:t>
      </w:r>
      <w:r w:rsidR="00BD45A7" w:rsidRPr="006F7E1F">
        <w:rPr>
          <w:rFonts w:ascii="Times New Roman" w:hAnsi="Times New Roman"/>
          <w:color w:val="000000"/>
          <w:sz w:val="24"/>
          <w:szCs w:val="24"/>
        </w:rPr>
        <w:t xml:space="preserve"> </w:t>
      </w:r>
      <w:r w:rsidRPr="006F7E1F">
        <w:rPr>
          <w:rFonts w:ascii="Times New Roman" w:hAnsi="Times New Roman"/>
          <w:color w:val="000000"/>
          <w:sz w:val="24"/>
          <w:szCs w:val="24"/>
        </w:rPr>
        <w:t>numeracy and science courses</w:t>
      </w:r>
      <w:r w:rsidR="0092688D" w:rsidRPr="006F7E1F">
        <w:rPr>
          <w:rFonts w:ascii="Times New Roman" w:hAnsi="Times New Roman"/>
          <w:color w:val="000000"/>
          <w:sz w:val="24"/>
          <w:szCs w:val="24"/>
        </w:rPr>
        <w:t xml:space="preserve"> </w:t>
      </w:r>
      <w:r w:rsidR="004C1838" w:rsidRPr="006F7E1F">
        <w:rPr>
          <w:rFonts w:ascii="Times New Roman" w:hAnsi="Times New Roman"/>
          <w:color w:val="000000"/>
          <w:sz w:val="24"/>
          <w:szCs w:val="24"/>
        </w:rPr>
        <w:t xml:space="preserve">effectively </w:t>
      </w:r>
      <w:r w:rsidR="0092688D" w:rsidRPr="006F7E1F">
        <w:rPr>
          <w:rFonts w:ascii="Times New Roman" w:hAnsi="Times New Roman"/>
          <w:color w:val="000000"/>
          <w:sz w:val="24"/>
          <w:szCs w:val="24"/>
        </w:rPr>
        <w:t xml:space="preserve">meet the needs of </w:t>
      </w:r>
      <w:r w:rsidRPr="006F7E1F">
        <w:rPr>
          <w:rFonts w:ascii="Times New Roman" w:hAnsi="Times New Roman"/>
          <w:color w:val="000000"/>
          <w:sz w:val="24"/>
          <w:szCs w:val="24"/>
        </w:rPr>
        <w:t>the SPS</w:t>
      </w:r>
      <w:r w:rsidR="0092688D" w:rsidRPr="006F7E1F">
        <w:rPr>
          <w:rFonts w:ascii="Times New Roman" w:hAnsi="Times New Roman"/>
          <w:color w:val="000000"/>
          <w:sz w:val="24"/>
          <w:szCs w:val="24"/>
        </w:rPr>
        <w:t xml:space="preserve"> student population. </w:t>
      </w:r>
      <w:r w:rsidRPr="006F7E1F">
        <w:rPr>
          <w:rFonts w:ascii="Times New Roman" w:hAnsi="Times New Roman"/>
          <w:color w:val="000000"/>
          <w:sz w:val="24"/>
          <w:szCs w:val="24"/>
        </w:rPr>
        <w:t xml:space="preserve">There </w:t>
      </w:r>
      <w:r w:rsidR="004C1838" w:rsidRPr="006F7E1F">
        <w:rPr>
          <w:rFonts w:ascii="Times New Roman" w:hAnsi="Times New Roman"/>
          <w:color w:val="000000"/>
          <w:sz w:val="24"/>
          <w:szCs w:val="24"/>
        </w:rPr>
        <w:t>is</w:t>
      </w:r>
      <w:r w:rsidRPr="006F7E1F">
        <w:rPr>
          <w:rFonts w:ascii="Times New Roman" w:hAnsi="Times New Roman"/>
          <w:color w:val="000000"/>
          <w:sz w:val="24"/>
          <w:szCs w:val="24"/>
        </w:rPr>
        <w:t xml:space="preserve"> currently no </w:t>
      </w:r>
      <w:r w:rsidR="0092688D" w:rsidRPr="006F7E1F">
        <w:rPr>
          <w:rFonts w:ascii="Times New Roman" w:hAnsi="Times New Roman"/>
          <w:color w:val="000000"/>
          <w:sz w:val="24"/>
          <w:szCs w:val="24"/>
        </w:rPr>
        <w:t>Mathematics</w:t>
      </w:r>
      <w:r w:rsidR="00BD45A7" w:rsidRPr="006F7E1F">
        <w:rPr>
          <w:rFonts w:ascii="Times New Roman" w:hAnsi="Times New Roman"/>
          <w:color w:val="000000"/>
          <w:sz w:val="24"/>
          <w:szCs w:val="24"/>
        </w:rPr>
        <w:t xml:space="preserve"> </w:t>
      </w:r>
      <w:r w:rsidR="00A66865" w:rsidRPr="006F7E1F">
        <w:rPr>
          <w:rFonts w:ascii="Times New Roman" w:hAnsi="Times New Roman"/>
          <w:color w:val="000000"/>
          <w:sz w:val="24"/>
          <w:szCs w:val="24"/>
        </w:rPr>
        <w:t>Specialist</w:t>
      </w:r>
      <w:r w:rsidR="0092688D" w:rsidRPr="006F7E1F">
        <w:rPr>
          <w:rFonts w:ascii="Times New Roman" w:hAnsi="Times New Roman"/>
          <w:color w:val="000000"/>
          <w:sz w:val="24"/>
          <w:szCs w:val="24"/>
        </w:rPr>
        <w:t xml:space="preserve"> </w:t>
      </w:r>
      <w:r w:rsidRPr="006F7E1F">
        <w:rPr>
          <w:rFonts w:ascii="Times New Roman" w:hAnsi="Times New Roman"/>
          <w:color w:val="000000"/>
          <w:sz w:val="24"/>
          <w:szCs w:val="24"/>
        </w:rPr>
        <w:t xml:space="preserve">available to study </w:t>
      </w:r>
      <w:r w:rsidR="0092688D" w:rsidRPr="006F7E1F">
        <w:rPr>
          <w:rFonts w:ascii="Times New Roman" w:hAnsi="Times New Roman"/>
          <w:color w:val="000000"/>
          <w:sz w:val="24"/>
          <w:szCs w:val="24"/>
        </w:rPr>
        <w:t xml:space="preserve">the </w:t>
      </w:r>
      <w:r w:rsidR="004C1838" w:rsidRPr="006F7E1F">
        <w:rPr>
          <w:rFonts w:ascii="Times New Roman" w:hAnsi="Times New Roman"/>
          <w:color w:val="000000"/>
          <w:sz w:val="24"/>
          <w:szCs w:val="24"/>
        </w:rPr>
        <w:t xml:space="preserve">effectiveness of the Math </w:t>
      </w:r>
      <w:r w:rsidRPr="006F7E1F">
        <w:rPr>
          <w:rFonts w:ascii="Times New Roman" w:hAnsi="Times New Roman"/>
          <w:color w:val="000000"/>
          <w:sz w:val="24"/>
          <w:szCs w:val="24"/>
        </w:rPr>
        <w:t xml:space="preserve">core </w:t>
      </w:r>
      <w:r w:rsidR="004C1838" w:rsidRPr="006F7E1F">
        <w:rPr>
          <w:rFonts w:ascii="Times New Roman" w:hAnsi="Times New Roman"/>
          <w:color w:val="000000"/>
          <w:sz w:val="24"/>
          <w:szCs w:val="24"/>
        </w:rPr>
        <w:t>in</w:t>
      </w:r>
      <w:r w:rsidRPr="006F7E1F">
        <w:rPr>
          <w:rFonts w:ascii="Times New Roman" w:hAnsi="Times New Roman"/>
          <w:color w:val="000000"/>
          <w:sz w:val="24"/>
          <w:szCs w:val="24"/>
        </w:rPr>
        <w:t xml:space="preserve"> the areas of </w:t>
      </w:r>
      <w:r w:rsidRPr="006F7E1F">
        <w:rPr>
          <w:rFonts w:ascii="Times New Roman" w:hAnsi="Times New Roman"/>
          <w:sz w:val="24"/>
          <w:szCs w:val="24"/>
        </w:rPr>
        <w:t>Problem Solving and Quantitative Literacy</w:t>
      </w:r>
      <w:r w:rsidRPr="006F7E1F">
        <w:rPr>
          <w:rFonts w:ascii="Times New Roman" w:hAnsi="Times New Roman"/>
          <w:color w:val="000000"/>
          <w:sz w:val="24"/>
          <w:szCs w:val="24"/>
        </w:rPr>
        <w:t>.</w:t>
      </w:r>
    </w:p>
    <w:p w:rsidR="001D5757" w:rsidRPr="00525056" w:rsidRDefault="00525056" w:rsidP="00166D4A">
      <w:pPr>
        <w:pStyle w:val="BodyText"/>
        <w:ind w:firstLine="0"/>
        <w:rPr>
          <w:rFonts w:ascii="Times New Roman" w:hAnsi="Times New Roman"/>
          <w:color w:val="000000"/>
          <w:sz w:val="24"/>
          <w:szCs w:val="24"/>
        </w:rPr>
      </w:pPr>
      <w:r w:rsidRPr="006F7E1F">
        <w:rPr>
          <w:rFonts w:ascii="Times New Roman" w:hAnsi="Times New Roman"/>
          <w:sz w:val="24"/>
          <w:szCs w:val="24"/>
        </w:rPr>
        <w:t>The SPS Core Curriculum assessment plan is a work in progress, with some components fully operational, some in their pilot stages, and others in the planning phase for future implementation.</w:t>
      </w:r>
      <w:r w:rsidRPr="006F7E1F">
        <w:rPr>
          <w:rFonts w:ascii="Times New Roman" w:hAnsi="Times New Roman"/>
          <w:color w:val="000000"/>
          <w:sz w:val="24"/>
          <w:szCs w:val="24"/>
        </w:rPr>
        <w:t xml:space="preserve">  </w:t>
      </w:r>
      <w:r w:rsidR="0092688D" w:rsidRPr="006F7E1F">
        <w:rPr>
          <w:rFonts w:ascii="Times New Roman" w:hAnsi="Times New Roman"/>
          <w:color w:val="000000"/>
          <w:sz w:val="24"/>
          <w:szCs w:val="24"/>
        </w:rPr>
        <w:t>During the 20</w:t>
      </w:r>
      <w:r w:rsidR="004C1838" w:rsidRPr="006F7E1F">
        <w:rPr>
          <w:rFonts w:ascii="Times New Roman" w:hAnsi="Times New Roman"/>
          <w:color w:val="000000"/>
          <w:sz w:val="24"/>
          <w:szCs w:val="24"/>
        </w:rPr>
        <w:t xml:space="preserve">14-15 </w:t>
      </w:r>
      <w:r w:rsidR="0092688D" w:rsidRPr="006F7E1F">
        <w:rPr>
          <w:rFonts w:ascii="Times New Roman" w:hAnsi="Times New Roman"/>
          <w:color w:val="000000"/>
          <w:sz w:val="24"/>
          <w:szCs w:val="24"/>
        </w:rPr>
        <w:t xml:space="preserve">academic year, the </w:t>
      </w:r>
      <w:r w:rsidR="004C1838" w:rsidRPr="006F7E1F">
        <w:rPr>
          <w:rFonts w:ascii="Times New Roman" w:hAnsi="Times New Roman"/>
          <w:color w:val="000000"/>
          <w:sz w:val="24"/>
          <w:szCs w:val="24"/>
        </w:rPr>
        <w:t>data will be</w:t>
      </w:r>
      <w:r w:rsidR="0092688D" w:rsidRPr="006F7E1F">
        <w:rPr>
          <w:rFonts w:ascii="Times New Roman" w:hAnsi="Times New Roman"/>
          <w:color w:val="000000"/>
          <w:sz w:val="24"/>
          <w:szCs w:val="24"/>
        </w:rPr>
        <w:t xml:space="preserve"> analyze</w:t>
      </w:r>
      <w:r w:rsidR="004C1838" w:rsidRPr="006F7E1F">
        <w:rPr>
          <w:rFonts w:ascii="Times New Roman" w:hAnsi="Times New Roman"/>
          <w:color w:val="000000"/>
          <w:sz w:val="24"/>
          <w:szCs w:val="24"/>
        </w:rPr>
        <w:t>d</w:t>
      </w:r>
      <w:r w:rsidR="0092688D" w:rsidRPr="006F7E1F">
        <w:rPr>
          <w:rFonts w:ascii="Times New Roman" w:hAnsi="Times New Roman"/>
          <w:color w:val="000000"/>
          <w:sz w:val="24"/>
          <w:szCs w:val="24"/>
        </w:rPr>
        <w:t xml:space="preserve"> </w:t>
      </w:r>
      <w:r w:rsidR="004C1838" w:rsidRPr="006F7E1F">
        <w:rPr>
          <w:rFonts w:ascii="Times New Roman" w:hAnsi="Times New Roman"/>
          <w:color w:val="000000"/>
          <w:sz w:val="24"/>
          <w:szCs w:val="24"/>
        </w:rPr>
        <w:t>and further</w:t>
      </w:r>
      <w:r w:rsidR="0092688D" w:rsidRPr="006F7E1F">
        <w:rPr>
          <w:rFonts w:ascii="Times New Roman" w:hAnsi="Times New Roman"/>
          <w:color w:val="000000"/>
          <w:sz w:val="24"/>
          <w:szCs w:val="24"/>
        </w:rPr>
        <w:t xml:space="preserve"> recommendations </w:t>
      </w:r>
      <w:r w:rsidR="004C1838" w:rsidRPr="006F7E1F">
        <w:rPr>
          <w:rFonts w:ascii="Times New Roman" w:hAnsi="Times New Roman"/>
          <w:color w:val="000000"/>
          <w:sz w:val="24"/>
          <w:szCs w:val="24"/>
        </w:rPr>
        <w:t xml:space="preserve">will be made </w:t>
      </w:r>
      <w:r w:rsidR="0092688D" w:rsidRPr="006F7E1F">
        <w:rPr>
          <w:rFonts w:ascii="Times New Roman" w:hAnsi="Times New Roman"/>
          <w:color w:val="000000"/>
          <w:sz w:val="24"/>
          <w:szCs w:val="24"/>
        </w:rPr>
        <w:t>for improved student success.</w:t>
      </w:r>
    </w:p>
    <w:sectPr w:rsidR="001D5757" w:rsidRPr="00525056" w:rsidSect="00314261">
      <w:headerReference w:type="even" r:id="rId11"/>
      <w:headerReference w:type="default" r:id="rId12"/>
      <w:headerReference w:type="first" r:id="rId13"/>
      <w:type w:val="continuous"/>
      <w:pgSz w:w="12240" w:h="15840" w:code="1"/>
      <w:pgMar w:top="1440" w:right="1800" w:bottom="1440" w:left="1800"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AF" w:rsidRDefault="00796FAF">
      <w:r>
        <w:separator/>
      </w:r>
    </w:p>
  </w:endnote>
  <w:endnote w:type="continuationSeparator" w:id="0">
    <w:p w:rsidR="00796FAF" w:rsidRDefault="007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AF" w:rsidRDefault="00796FAF">
      <w:r>
        <w:separator/>
      </w:r>
    </w:p>
  </w:footnote>
  <w:footnote w:type="continuationSeparator" w:id="0">
    <w:p w:rsidR="00796FAF" w:rsidRDefault="00796FAF">
      <w:r>
        <w:separator/>
      </w:r>
    </w:p>
  </w:footnote>
  <w:footnote w:type="continuationNotice" w:id="1">
    <w:p w:rsidR="00796FAF" w:rsidRDefault="00796FAF">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AF" w:rsidRDefault="00796F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AF" w:rsidRDefault="00796F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AF" w:rsidRDefault="00796F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0D170F"/>
    <w:multiLevelType w:val="hybridMultilevel"/>
    <w:tmpl w:val="9F1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29B3"/>
    <w:multiLevelType w:val="singleLevel"/>
    <w:tmpl w:val="C8727A20"/>
    <w:lvl w:ilvl="0">
      <w:start w:val="1"/>
      <w:numFmt w:val="decimal"/>
      <w:lvlText w:val="%1)"/>
      <w:legacy w:legacy="1" w:legacySpace="0" w:legacyIndent="360"/>
      <w:lvlJc w:val="left"/>
      <w:pPr>
        <w:ind w:left="720" w:hanging="360"/>
      </w:pPr>
    </w:lvl>
  </w:abstractNum>
  <w:abstractNum w:abstractNumId="5">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28"/>
    <w:rsid w:val="00030044"/>
    <w:rsid w:val="00082381"/>
    <w:rsid w:val="000D1572"/>
    <w:rsid w:val="001224EE"/>
    <w:rsid w:val="00160DC8"/>
    <w:rsid w:val="00166D4A"/>
    <w:rsid w:val="00167991"/>
    <w:rsid w:val="0018161C"/>
    <w:rsid w:val="001914F0"/>
    <w:rsid w:val="001B3E2B"/>
    <w:rsid w:val="001B540A"/>
    <w:rsid w:val="001D5757"/>
    <w:rsid w:val="001F02A4"/>
    <w:rsid w:val="001F1BDA"/>
    <w:rsid w:val="001F7052"/>
    <w:rsid w:val="002C195D"/>
    <w:rsid w:val="002E1DA3"/>
    <w:rsid w:val="002E320C"/>
    <w:rsid w:val="002F2880"/>
    <w:rsid w:val="003016C7"/>
    <w:rsid w:val="00314261"/>
    <w:rsid w:val="00317332"/>
    <w:rsid w:val="00370F95"/>
    <w:rsid w:val="003B5270"/>
    <w:rsid w:val="003B6B3A"/>
    <w:rsid w:val="00407025"/>
    <w:rsid w:val="00413B6B"/>
    <w:rsid w:val="00445BBD"/>
    <w:rsid w:val="004502E5"/>
    <w:rsid w:val="0045154D"/>
    <w:rsid w:val="004702A4"/>
    <w:rsid w:val="00487860"/>
    <w:rsid w:val="00494DA6"/>
    <w:rsid w:val="004C1838"/>
    <w:rsid w:val="004D6BEC"/>
    <w:rsid w:val="004E1BAC"/>
    <w:rsid w:val="0050787E"/>
    <w:rsid w:val="00525056"/>
    <w:rsid w:val="00540CCA"/>
    <w:rsid w:val="00566638"/>
    <w:rsid w:val="005A0328"/>
    <w:rsid w:val="005C7FE0"/>
    <w:rsid w:val="005D1485"/>
    <w:rsid w:val="005D26CE"/>
    <w:rsid w:val="005E08BB"/>
    <w:rsid w:val="005F1FA4"/>
    <w:rsid w:val="00697ACE"/>
    <w:rsid w:val="006B16C6"/>
    <w:rsid w:val="006B41EC"/>
    <w:rsid w:val="006C0C42"/>
    <w:rsid w:val="006C54C4"/>
    <w:rsid w:val="006C5531"/>
    <w:rsid w:val="006D7CE5"/>
    <w:rsid w:val="006E19BE"/>
    <w:rsid w:val="006E2778"/>
    <w:rsid w:val="006F1C7E"/>
    <w:rsid w:val="006F3892"/>
    <w:rsid w:val="006F7E1F"/>
    <w:rsid w:val="0070110C"/>
    <w:rsid w:val="00712F6C"/>
    <w:rsid w:val="00732D30"/>
    <w:rsid w:val="00740416"/>
    <w:rsid w:val="00770D27"/>
    <w:rsid w:val="00796FAF"/>
    <w:rsid w:val="007C297A"/>
    <w:rsid w:val="007D6E97"/>
    <w:rsid w:val="00805D45"/>
    <w:rsid w:val="00807234"/>
    <w:rsid w:val="00812F54"/>
    <w:rsid w:val="0084673D"/>
    <w:rsid w:val="00886C08"/>
    <w:rsid w:val="00892E41"/>
    <w:rsid w:val="008A2ED0"/>
    <w:rsid w:val="008B00BE"/>
    <w:rsid w:val="008C4612"/>
    <w:rsid w:val="008C645A"/>
    <w:rsid w:val="00910101"/>
    <w:rsid w:val="009213D9"/>
    <w:rsid w:val="0092688D"/>
    <w:rsid w:val="00985923"/>
    <w:rsid w:val="009C7C69"/>
    <w:rsid w:val="009D4003"/>
    <w:rsid w:val="00A173CD"/>
    <w:rsid w:val="00A47537"/>
    <w:rsid w:val="00A66865"/>
    <w:rsid w:val="00AB0110"/>
    <w:rsid w:val="00AC1C06"/>
    <w:rsid w:val="00AD13DC"/>
    <w:rsid w:val="00B01EB0"/>
    <w:rsid w:val="00B54912"/>
    <w:rsid w:val="00B72078"/>
    <w:rsid w:val="00BC6C33"/>
    <w:rsid w:val="00BD45A7"/>
    <w:rsid w:val="00C14365"/>
    <w:rsid w:val="00C252C9"/>
    <w:rsid w:val="00C365BB"/>
    <w:rsid w:val="00C57CA0"/>
    <w:rsid w:val="00C92032"/>
    <w:rsid w:val="00CA3B16"/>
    <w:rsid w:val="00D14B7E"/>
    <w:rsid w:val="00D2451E"/>
    <w:rsid w:val="00D519EA"/>
    <w:rsid w:val="00D51EE8"/>
    <w:rsid w:val="00D66CE0"/>
    <w:rsid w:val="00D84274"/>
    <w:rsid w:val="00DD5F54"/>
    <w:rsid w:val="00E51137"/>
    <w:rsid w:val="00E843FE"/>
    <w:rsid w:val="00E8516D"/>
    <w:rsid w:val="00EF0E66"/>
    <w:rsid w:val="00F05F52"/>
    <w:rsid w:val="00F36644"/>
    <w:rsid w:val="00F5258E"/>
    <w:rsid w:val="00F52962"/>
    <w:rsid w:val="00F61AC5"/>
    <w:rsid w:val="00F80649"/>
    <w:rsid w:val="00F839C6"/>
    <w:rsid w:val="00FA3EA0"/>
    <w:rsid w:val="00FD65AE"/>
    <w:rsid w:val="00FE2A19"/>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1B3E2B"/>
    <w:pPr>
      <w:ind w:left="720"/>
      <w:contextualSpacing/>
    </w:pPr>
  </w:style>
  <w:style w:type="paragraph" w:styleId="BalloonText">
    <w:name w:val="Balloon Text"/>
    <w:basedOn w:val="Normal"/>
    <w:link w:val="BalloonTextChar"/>
    <w:rsid w:val="001B3E2B"/>
    <w:rPr>
      <w:rFonts w:ascii="Tahoma" w:hAnsi="Tahoma" w:cs="Tahoma"/>
      <w:sz w:val="16"/>
      <w:szCs w:val="16"/>
    </w:rPr>
  </w:style>
  <w:style w:type="character" w:customStyle="1" w:styleId="BalloonTextChar">
    <w:name w:val="Balloon Text Char"/>
    <w:basedOn w:val="DefaultParagraphFont"/>
    <w:link w:val="BalloonText"/>
    <w:rsid w:val="001B3E2B"/>
    <w:rPr>
      <w:rFonts w:ascii="Tahoma" w:hAnsi="Tahoma" w:cs="Tahoma"/>
      <w:sz w:val="16"/>
      <w:szCs w:val="16"/>
    </w:rPr>
  </w:style>
  <w:style w:type="paragraph" w:styleId="Header">
    <w:name w:val="header"/>
    <w:basedOn w:val="Normal"/>
    <w:link w:val="HeaderChar"/>
    <w:rsid w:val="00314261"/>
    <w:pPr>
      <w:tabs>
        <w:tab w:val="center" w:pos="4680"/>
        <w:tab w:val="right" w:pos="9360"/>
      </w:tabs>
    </w:pPr>
  </w:style>
  <w:style w:type="character" w:customStyle="1" w:styleId="HeaderChar">
    <w:name w:val="Header Char"/>
    <w:basedOn w:val="DefaultParagraphFont"/>
    <w:link w:val="Header"/>
    <w:rsid w:val="00314261"/>
    <w:rPr>
      <w:rFonts w:ascii="Garamond" w:hAnsi="Garamond"/>
      <w:sz w:val="22"/>
    </w:rPr>
  </w:style>
  <w:style w:type="paragraph" w:styleId="Footer">
    <w:name w:val="footer"/>
    <w:basedOn w:val="Normal"/>
    <w:link w:val="FooterChar"/>
    <w:uiPriority w:val="99"/>
    <w:unhideWhenUsed/>
    <w:rsid w:val="00314261"/>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314261"/>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D84274"/>
    <w:rPr>
      <w:b w:val="0"/>
      <w:bCs w:val="0"/>
      <w:strike w:val="0"/>
      <w:dstrike w:val="0"/>
      <w:color w:val="0033CC"/>
      <w:u w:val="none"/>
      <w:effect w:val="none"/>
    </w:rPr>
  </w:style>
  <w:style w:type="table" w:styleId="TableGrid">
    <w:name w:val="Table Grid"/>
    <w:basedOn w:val="TableNormal"/>
    <w:rsid w:val="003B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1B3E2B"/>
    <w:pPr>
      <w:ind w:left="720"/>
      <w:contextualSpacing/>
    </w:pPr>
  </w:style>
  <w:style w:type="paragraph" w:styleId="BalloonText">
    <w:name w:val="Balloon Text"/>
    <w:basedOn w:val="Normal"/>
    <w:link w:val="BalloonTextChar"/>
    <w:rsid w:val="001B3E2B"/>
    <w:rPr>
      <w:rFonts w:ascii="Tahoma" w:hAnsi="Tahoma" w:cs="Tahoma"/>
      <w:sz w:val="16"/>
      <w:szCs w:val="16"/>
    </w:rPr>
  </w:style>
  <w:style w:type="character" w:customStyle="1" w:styleId="BalloonTextChar">
    <w:name w:val="Balloon Text Char"/>
    <w:basedOn w:val="DefaultParagraphFont"/>
    <w:link w:val="BalloonText"/>
    <w:rsid w:val="001B3E2B"/>
    <w:rPr>
      <w:rFonts w:ascii="Tahoma" w:hAnsi="Tahoma" w:cs="Tahoma"/>
      <w:sz w:val="16"/>
      <w:szCs w:val="16"/>
    </w:rPr>
  </w:style>
  <w:style w:type="paragraph" w:styleId="Header">
    <w:name w:val="header"/>
    <w:basedOn w:val="Normal"/>
    <w:link w:val="HeaderChar"/>
    <w:rsid w:val="00314261"/>
    <w:pPr>
      <w:tabs>
        <w:tab w:val="center" w:pos="4680"/>
        <w:tab w:val="right" w:pos="9360"/>
      </w:tabs>
    </w:pPr>
  </w:style>
  <w:style w:type="character" w:customStyle="1" w:styleId="HeaderChar">
    <w:name w:val="Header Char"/>
    <w:basedOn w:val="DefaultParagraphFont"/>
    <w:link w:val="Header"/>
    <w:rsid w:val="00314261"/>
    <w:rPr>
      <w:rFonts w:ascii="Garamond" w:hAnsi="Garamond"/>
      <w:sz w:val="22"/>
    </w:rPr>
  </w:style>
  <w:style w:type="paragraph" w:styleId="Footer">
    <w:name w:val="footer"/>
    <w:basedOn w:val="Normal"/>
    <w:link w:val="FooterChar"/>
    <w:uiPriority w:val="99"/>
    <w:unhideWhenUsed/>
    <w:rsid w:val="00314261"/>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314261"/>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D84274"/>
    <w:rPr>
      <w:b w:val="0"/>
      <w:bCs w:val="0"/>
      <w:strike w:val="0"/>
      <w:dstrike w:val="0"/>
      <w:color w:val="0033CC"/>
      <w:u w:val="none"/>
      <w:effect w:val="none"/>
    </w:rPr>
  </w:style>
  <w:style w:type="table" w:styleId="TableGrid">
    <w:name w:val="Table Grid"/>
    <w:basedOn w:val="TableNormal"/>
    <w:rsid w:val="003B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750">
      <w:bodyDiv w:val="1"/>
      <w:marLeft w:val="0"/>
      <w:marRight w:val="0"/>
      <w:marTop w:val="0"/>
      <w:marBottom w:val="0"/>
      <w:divBdr>
        <w:top w:val="none" w:sz="0" w:space="0" w:color="auto"/>
        <w:left w:val="none" w:sz="0" w:space="0" w:color="auto"/>
        <w:bottom w:val="none" w:sz="0" w:space="0" w:color="auto"/>
        <w:right w:val="none" w:sz="0" w:space="0" w:color="auto"/>
      </w:divBdr>
    </w:div>
    <w:div w:id="1081757833">
      <w:bodyDiv w:val="1"/>
      <w:marLeft w:val="0"/>
      <w:marRight w:val="0"/>
      <w:marTop w:val="0"/>
      <w:marBottom w:val="0"/>
      <w:divBdr>
        <w:top w:val="none" w:sz="0" w:space="0" w:color="auto"/>
        <w:left w:val="none" w:sz="0" w:space="0" w:color="auto"/>
        <w:bottom w:val="none" w:sz="0" w:space="0" w:color="auto"/>
        <w:right w:val="none" w:sz="0" w:space="0" w:color="auto"/>
      </w:divBdr>
    </w:div>
    <w:div w:id="1334801016">
      <w:bodyDiv w:val="1"/>
      <w:marLeft w:val="0"/>
      <w:marRight w:val="0"/>
      <w:marTop w:val="0"/>
      <w:marBottom w:val="0"/>
      <w:divBdr>
        <w:top w:val="none" w:sz="0" w:space="0" w:color="auto"/>
        <w:left w:val="none" w:sz="0" w:space="0" w:color="auto"/>
        <w:bottom w:val="none" w:sz="0" w:space="0" w:color="auto"/>
        <w:right w:val="none" w:sz="0" w:space="0" w:color="auto"/>
      </w:divBdr>
    </w:div>
    <w:div w:id="1337611315">
      <w:bodyDiv w:val="1"/>
      <w:marLeft w:val="0"/>
      <w:marRight w:val="0"/>
      <w:marTop w:val="0"/>
      <w:marBottom w:val="0"/>
      <w:divBdr>
        <w:top w:val="none" w:sz="0" w:space="0" w:color="auto"/>
        <w:left w:val="none" w:sz="0" w:space="0" w:color="auto"/>
        <w:bottom w:val="none" w:sz="0" w:space="0" w:color="auto"/>
        <w:right w:val="none" w:sz="0" w:space="0" w:color="auto"/>
      </w:divBdr>
    </w:div>
    <w:div w:id="18462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cu.org/value/index.cf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sonk\Desktop\010178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B660-BB12-460D-96B7-697042F5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01017817</Template>
  <TotalTime>0</TotalTime>
  <Pages>5</Pages>
  <Words>1444</Words>
  <Characters>8236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Tyson</dc:creator>
  <cp:lastModifiedBy>toliverk</cp:lastModifiedBy>
  <cp:revision>2</cp:revision>
  <cp:lastPrinted>2014-09-29T18:27:00Z</cp:lastPrinted>
  <dcterms:created xsi:type="dcterms:W3CDTF">2015-03-25T13:39:00Z</dcterms:created>
  <dcterms:modified xsi:type="dcterms:W3CDTF">2015-03-25T13:39:00Z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